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CF92B3" w14:textId="7441C70E" w:rsidR="00B607F4" w:rsidRDefault="00405F24" w:rsidP="00405F24">
      <w:pPr>
        <w:tabs>
          <w:tab w:val="center" w:pos="4153"/>
          <w:tab w:val="right" w:pos="8306"/>
        </w:tabs>
        <w:jc w:val="center"/>
        <w:rPr>
          <w:lang w:eastAsia="lt-LT"/>
        </w:rPr>
      </w:pPr>
      <w:bookmarkStart w:id="0" w:name="_GoBack"/>
      <w:bookmarkEnd w:id="0"/>
      <w:r>
        <w:rPr>
          <w:noProof/>
          <w:lang w:eastAsia="lt-LT"/>
        </w:rPr>
        <w:drawing>
          <wp:inline distT="0" distB="0" distL="0" distR="0" wp14:anchorId="5FCF93F5" wp14:editId="5FCF93F6">
            <wp:extent cx="54292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a:ln>
                      <a:noFill/>
                    </a:ln>
                  </pic:spPr>
                </pic:pic>
              </a:graphicData>
            </a:graphic>
          </wp:inline>
        </w:drawing>
      </w:r>
    </w:p>
    <w:p w14:paraId="5FCF92B4" w14:textId="77777777" w:rsidR="00B607F4" w:rsidRDefault="00B607F4">
      <w:pPr>
        <w:rPr>
          <w:sz w:val="10"/>
          <w:szCs w:val="10"/>
        </w:rPr>
      </w:pPr>
    </w:p>
    <w:p w14:paraId="5FCF92B5" w14:textId="77777777" w:rsidR="00B607F4" w:rsidRDefault="00405F24">
      <w:pPr>
        <w:keepNext/>
        <w:jc w:val="center"/>
        <w:rPr>
          <w:rFonts w:ascii="Arial" w:hAnsi="Arial" w:cs="Arial"/>
          <w:caps/>
          <w:sz w:val="36"/>
          <w:lang w:eastAsia="lt-LT"/>
        </w:rPr>
      </w:pPr>
      <w:r>
        <w:rPr>
          <w:rFonts w:ascii="Arial" w:hAnsi="Arial" w:cs="Arial"/>
          <w:caps/>
          <w:sz w:val="36"/>
          <w:lang w:eastAsia="lt-LT"/>
        </w:rPr>
        <w:t>Lietuvos Respublikos Vyriausybė</w:t>
      </w:r>
    </w:p>
    <w:p w14:paraId="5FCF92B6" w14:textId="77777777" w:rsidR="00B607F4" w:rsidRDefault="00B607F4">
      <w:pPr>
        <w:jc w:val="center"/>
        <w:rPr>
          <w:caps/>
          <w:lang w:eastAsia="lt-LT"/>
        </w:rPr>
      </w:pPr>
    </w:p>
    <w:p w14:paraId="5FCF92B7" w14:textId="77777777" w:rsidR="00B607F4" w:rsidRDefault="00405F24">
      <w:pPr>
        <w:jc w:val="center"/>
        <w:rPr>
          <w:b/>
          <w:caps/>
          <w:lang w:eastAsia="lt-LT"/>
        </w:rPr>
      </w:pPr>
      <w:r>
        <w:rPr>
          <w:b/>
          <w:caps/>
          <w:lang w:eastAsia="lt-LT"/>
        </w:rPr>
        <w:t>nutarimas</w:t>
      </w:r>
    </w:p>
    <w:p w14:paraId="5FCF92B8" w14:textId="77777777" w:rsidR="00B607F4" w:rsidRDefault="00405F24">
      <w:pPr>
        <w:jc w:val="center"/>
        <w:rPr>
          <w:b/>
          <w:szCs w:val="24"/>
          <w:lang w:eastAsia="lt-LT"/>
        </w:rPr>
      </w:pPr>
      <w:r>
        <w:rPr>
          <w:b/>
          <w:caps/>
          <w:lang w:eastAsia="lt-LT"/>
        </w:rPr>
        <w:t xml:space="preserve">Dėl </w:t>
      </w:r>
      <w:r>
        <w:rPr>
          <w:b/>
          <w:bCs/>
          <w:color w:val="000000"/>
          <w:szCs w:val="24"/>
          <w:lang w:eastAsia="lt-LT"/>
        </w:rPr>
        <w:t>NEFORMALIOJO SUAUGUSIŲJŲ ŠVIETIMO IR TĘSTINIO MOKYMOSI 2016–2023 METŲ PLĖTROS PROGRAMOS PATVIRTINIMO</w:t>
      </w:r>
    </w:p>
    <w:p w14:paraId="5FCF92B9" w14:textId="77777777" w:rsidR="00B607F4" w:rsidRDefault="00B607F4">
      <w:pPr>
        <w:tabs>
          <w:tab w:val="left" w:pos="-284"/>
        </w:tabs>
        <w:rPr>
          <w:caps/>
          <w:lang w:eastAsia="lt-LT"/>
        </w:rPr>
      </w:pPr>
    </w:p>
    <w:p w14:paraId="5FCF92BA" w14:textId="77777777" w:rsidR="00B607F4" w:rsidRDefault="00405F24">
      <w:pPr>
        <w:tabs>
          <w:tab w:val="left" w:pos="6804"/>
        </w:tabs>
        <w:jc w:val="center"/>
        <w:rPr>
          <w:color w:val="000000"/>
          <w:lang w:eastAsia="ar-SA"/>
        </w:rPr>
      </w:pPr>
      <w:r>
        <w:rPr>
          <w:color w:val="000000"/>
          <w:lang w:eastAsia="lt-LT"/>
        </w:rPr>
        <w:t>2016 m. balandžio 6 d.</w:t>
      </w:r>
      <w:r>
        <w:rPr>
          <w:color w:val="000000"/>
          <w:lang w:eastAsia="ar-SA"/>
        </w:rPr>
        <w:t xml:space="preserve"> Nr. </w:t>
      </w:r>
      <w:r>
        <w:rPr>
          <w:color w:val="000000"/>
          <w:lang w:eastAsia="lt-LT"/>
        </w:rPr>
        <w:t>347</w:t>
      </w:r>
      <w:r>
        <w:rPr>
          <w:color w:val="000000"/>
          <w:lang w:eastAsia="ar-SA"/>
        </w:rPr>
        <w:br/>
        <w:t>Vilnius</w:t>
      </w:r>
    </w:p>
    <w:p w14:paraId="5FCF92BB" w14:textId="77777777" w:rsidR="00B607F4" w:rsidRDefault="00B607F4">
      <w:pPr>
        <w:tabs>
          <w:tab w:val="left" w:pos="-284"/>
        </w:tabs>
        <w:jc w:val="center"/>
        <w:rPr>
          <w:color w:val="000000"/>
          <w:lang w:eastAsia="lt-LT"/>
        </w:rPr>
      </w:pPr>
    </w:p>
    <w:p w14:paraId="5FCF92BC" w14:textId="77777777" w:rsidR="00B607F4" w:rsidRDefault="00B607F4">
      <w:pPr>
        <w:tabs>
          <w:tab w:val="left" w:pos="-284"/>
        </w:tabs>
        <w:jc w:val="center"/>
        <w:rPr>
          <w:color w:val="000000"/>
          <w:lang w:eastAsia="lt-LT"/>
        </w:rPr>
      </w:pPr>
    </w:p>
    <w:p w14:paraId="5FCF92BD" w14:textId="77777777" w:rsidR="00B607F4" w:rsidRDefault="00405F24">
      <w:pPr>
        <w:spacing w:line="360" w:lineRule="atLeast"/>
        <w:ind w:firstLine="720"/>
        <w:jc w:val="both"/>
        <w:rPr>
          <w:szCs w:val="24"/>
          <w:lang w:eastAsia="lt-LT"/>
        </w:rPr>
      </w:pPr>
      <w:r>
        <w:rPr>
          <w:color w:val="000000"/>
          <w:szCs w:val="24"/>
          <w:lang w:eastAsia="lt-LT"/>
        </w:rPr>
        <w:t xml:space="preserve">Vadovaudamasi Lietuvos Respublikos </w:t>
      </w:r>
      <w:r>
        <w:rPr>
          <w:bCs/>
          <w:color w:val="000000"/>
          <w:szCs w:val="24"/>
          <w:lang w:eastAsia="lt-LT"/>
        </w:rPr>
        <w:t>neformaliojo suaugusiųjų švietimo ir tęstinio mokymosi</w:t>
      </w:r>
      <w:r>
        <w:rPr>
          <w:color w:val="000000"/>
          <w:szCs w:val="24"/>
          <w:lang w:eastAsia="lt-LT"/>
        </w:rPr>
        <w:t xml:space="preserve"> įstatymo 8 straipsnio 1 dalimi, </w:t>
      </w:r>
      <w:r>
        <w:rPr>
          <w:szCs w:val="24"/>
          <w:lang w:eastAsia="lt-LT"/>
        </w:rPr>
        <w:t>Lietuvos Respublikos Vyriausybė</w:t>
      </w:r>
      <w:r>
        <w:rPr>
          <w:spacing w:val="100"/>
          <w:szCs w:val="24"/>
          <w:lang w:eastAsia="lt-LT"/>
        </w:rPr>
        <w:t xml:space="preserve"> nutari</w:t>
      </w:r>
      <w:r>
        <w:rPr>
          <w:szCs w:val="24"/>
          <w:lang w:eastAsia="lt-LT"/>
        </w:rPr>
        <w:t>a:</w:t>
      </w:r>
    </w:p>
    <w:p w14:paraId="5FCF92BE" w14:textId="77777777" w:rsidR="00B607F4" w:rsidRDefault="00405F24">
      <w:pPr>
        <w:tabs>
          <w:tab w:val="left" w:pos="567"/>
        </w:tabs>
        <w:spacing w:line="360" w:lineRule="atLeast"/>
        <w:ind w:firstLine="720"/>
        <w:jc w:val="both"/>
        <w:rPr>
          <w:color w:val="000000"/>
          <w:szCs w:val="24"/>
          <w:lang w:eastAsia="lt-LT"/>
        </w:rPr>
      </w:pPr>
      <w:r>
        <w:rPr>
          <w:color w:val="000000"/>
          <w:szCs w:val="24"/>
          <w:lang w:eastAsia="lt-LT"/>
        </w:rPr>
        <w:t xml:space="preserve">1. Patvirtinti </w:t>
      </w:r>
      <w:r>
        <w:rPr>
          <w:bCs/>
          <w:color w:val="000000"/>
          <w:szCs w:val="24"/>
          <w:lang w:eastAsia="lt-LT"/>
        </w:rPr>
        <w:t xml:space="preserve">Neformaliojo suaugusiųjų švietimo ir tęstinio mokymosi 2016–2023 metų plėtros programą </w:t>
      </w:r>
      <w:r>
        <w:rPr>
          <w:color w:val="000000"/>
          <w:szCs w:val="24"/>
          <w:lang w:eastAsia="lt-LT"/>
        </w:rPr>
        <w:t>(pridedama).</w:t>
      </w:r>
    </w:p>
    <w:p w14:paraId="5FCF92C2" w14:textId="144B7259" w:rsidR="00B607F4" w:rsidRDefault="00405F24" w:rsidP="00405F24">
      <w:pPr>
        <w:tabs>
          <w:tab w:val="left" w:pos="567"/>
        </w:tabs>
        <w:spacing w:line="360" w:lineRule="atLeast"/>
        <w:ind w:firstLine="720"/>
        <w:jc w:val="both"/>
        <w:rPr>
          <w:color w:val="000000"/>
          <w:lang w:eastAsia="lt-LT"/>
        </w:rPr>
      </w:pPr>
      <w:r>
        <w:rPr>
          <w:color w:val="000000"/>
          <w:szCs w:val="24"/>
          <w:lang w:eastAsia="lt-LT"/>
        </w:rPr>
        <w:t xml:space="preserve">2. Rekomenduoti savivaldybėms dalyvauti įgyvendinant </w:t>
      </w:r>
      <w:r>
        <w:rPr>
          <w:bCs/>
          <w:color w:val="000000"/>
          <w:szCs w:val="24"/>
          <w:lang w:eastAsia="lt-LT"/>
        </w:rPr>
        <w:t>Neformaliojo suaugusiųjų švietimo ir tęstinio mokymosi 2016–2023 metų plėtros programą</w:t>
      </w:r>
      <w:r>
        <w:rPr>
          <w:color w:val="000000"/>
          <w:szCs w:val="24"/>
          <w:lang w:eastAsia="lt-LT"/>
        </w:rPr>
        <w:t xml:space="preserve"> ir skirti lėšų jai įgyvendinti.</w:t>
      </w:r>
    </w:p>
    <w:p w14:paraId="48E3EB89" w14:textId="77777777" w:rsidR="00405F24" w:rsidRDefault="00405F24">
      <w:pPr>
        <w:tabs>
          <w:tab w:val="center" w:pos="-7800"/>
          <w:tab w:val="left" w:pos="6237"/>
          <w:tab w:val="right" w:pos="8306"/>
        </w:tabs>
      </w:pPr>
    </w:p>
    <w:p w14:paraId="404DA4A3" w14:textId="77777777" w:rsidR="00405F24" w:rsidRDefault="00405F24">
      <w:pPr>
        <w:tabs>
          <w:tab w:val="center" w:pos="-7800"/>
          <w:tab w:val="left" w:pos="6237"/>
          <w:tab w:val="right" w:pos="8306"/>
        </w:tabs>
      </w:pPr>
    </w:p>
    <w:p w14:paraId="7DB1CBC4" w14:textId="77777777" w:rsidR="00405F24" w:rsidRDefault="00405F24">
      <w:pPr>
        <w:tabs>
          <w:tab w:val="center" w:pos="-7800"/>
          <w:tab w:val="left" w:pos="6237"/>
          <w:tab w:val="right" w:pos="8306"/>
        </w:tabs>
      </w:pPr>
    </w:p>
    <w:p w14:paraId="5FCF92C3" w14:textId="6ACFC88C" w:rsidR="00B607F4" w:rsidRDefault="00405F24">
      <w:pPr>
        <w:tabs>
          <w:tab w:val="center" w:pos="-7800"/>
          <w:tab w:val="left" w:pos="6237"/>
          <w:tab w:val="right" w:pos="8306"/>
        </w:tabs>
        <w:rPr>
          <w:lang w:eastAsia="lt-LT"/>
        </w:rPr>
      </w:pPr>
      <w:r>
        <w:rPr>
          <w:lang w:eastAsia="lt-LT"/>
        </w:rPr>
        <w:t>Ministras Pirmininkas</w:t>
      </w:r>
      <w:r>
        <w:rPr>
          <w:lang w:eastAsia="lt-LT"/>
        </w:rPr>
        <w:tab/>
        <w:t>Algirdas Butkevičius</w:t>
      </w:r>
    </w:p>
    <w:p w14:paraId="5FCF92C4" w14:textId="77777777" w:rsidR="00B607F4" w:rsidRDefault="00B607F4">
      <w:pPr>
        <w:tabs>
          <w:tab w:val="center" w:pos="-7800"/>
          <w:tab w:val="left" w:pos="6237"/>
          <w:tab w:val="right" w:pos="8306"/>
        </w:tabs>
        <w:rPr>
          <w:lang w:eastAsia="lt-LT"/>
        </w:rPr>
      </w:pPr>
    </w:p>
    <w:p w14:paraId="5FCF92C5" w14:textId="77777777" w:rsidR="00B607F4" w:rsidRDefault="00B607F4">
      <w:pPr>
        <w:tabs>
          <w:tab w:val="center" w:pos="-7800"/>
          <w:tab w:val="left" w:pos="6237"/>
          <w:tab w:val="right" w:pos="8306"/>
        </w:tabs>
        <w:rPr>
          <w:lang w:eastAsia="lt-LT"/>
        </w:rPr>
      </w:pPr>
    </w:p>
    <w:p w14:paraId="5FCF92C6" w14:textId="77777777" w:rsidR="00B607F4" w:rsidRDefault="00B607F4">
      <w:pPr>
        <w:tabs>
          <w:tab w:val="center" w:pos="-7800"/>
          <w:tab w:val="left" w:pos="6237"/>
          <w:tab w:val="right" w:pos="8306"/>
        </w:tabs>
        <w:rPr>
          <w:lang w:eastAsia="lt-LT"/>
        </w:rPr>
      </w:pPr>
    </w:p>
    <w:p w14:paraId="5FCF92C8" w14:textId="36B21D9B" w:rsidR="00B607F4" w:rsidRDefault="00405F24" w:rsidP="00405F24">
      <w:pPr>
        <w:tabs>
          <w:tab w:val="center" w:pos="-3686"/>
          <w:tab w:val="left" w:pos="6237"/>
          <w:tab w:val="right" w:pos="8306"/>
        </w:tabs>
        <w:rPr>
          <w:lang w:eastAsia="lt-LT"/>
        </w:rPr>
      </w:pPr>
      <w:r>
        <w:rPr>
          <w:color w:val="000000"/>
          <w:szCs w:val="24"/>
          <w:lang w:eastAsia="lt-LT"/>
        </w:rPr>
        <w:t>Švietimo ir mokslo ministrė</w:t>
      </w:r>
      <w:r>
        <w:rPr>
          <w:lang w:eastAsia="lt-LT"/>
        </w:rPr>
        <w:tab/>
        <w:t>Audronė Pitrėnienė</w:t>
      </w:r>
    </w:p>
    <w:p w14:paraId="195CBBF4" w14:textId="15A350DE" w:rsidR="00405F24" w:rsidRDefault="00405F24" w:rsidP="00405F24">
      <w:r>
        <w:br w:type="page"/>
      </w:r>
    </w:p>
    <w:p w14:paraId="5FCF92C9" w14:textId="2827C928" w:rsidR="00B607F4" w:rsidRDefault="00405F24">
      <w:pPr>
        <w:ind w:left="4820"/>
        <w:rPr>
          <w:lang w:eastAsia="lt-LT"/>
        </w:rPr>
      </w:pPr>
      <w:r>
        <w:rPr>
          <w:lang w:eastAsia="ar-SA"/>
        </w:rPr>
        <w:lastRenderedPageBreak/>
        <w:t>PATVIRTINTA</w:t>
      </w:r>
      <w:r>
        <w:rPr>
          <w:lang w:eastAsia="ar-SA"/>
        </w:rPr>
        <w:br/>
        <w:t>Lietuvos Respublikos Vyriausybės</w:t>
      </w:r>
      <w:r>
        <w:rPr>
          <w:lang w:eastAsia="ar-SA"/>
        </w:rPr>
        <w:br/>
      </w:r>
      <w:r>
        <w:rPr>
          <w:lang w:eastAsia="lt-LT"/>
        </w:rPr>
        <w:t xml:space="preserve">2016 m. balandžio 6 d. </w:t>
      </w:r>
      <w:r>
        <w:rPr>
          <w:lang w:eastAsia="ar-SA"/>
        </w:rPr>
        <w:t xml:space="preserve">nutarimu Nr. </w:t>
      </w:r>
      <w:r>
        <w:rPr>
          <w:lang w:eastAsia="lt-LT"/>
        </w:rPr>
        <w:t>347</w:t>
      </w:r>
    </w:p>
    <w:p w14:paraId="5FCF92CA" w14:textId="77777777" w:rsidR="00B607F4" w:rsidRDefault="00B607F4">
      <w:pPr>
        <w:tabs>
          <w:tab w:val="left" w:pos="-284"/>
        </w:tabs>
        <w:rPr>
          <w:caps/>
          <w:lang w:eastAsia="lt-LT"/>
        </w:rPr>
      </w:pPr>
    </w:p>
    <w:p w14:paraId="5FCF92CB" w14:textId="77777777" w:rsidR="00B607F4" w:rsidRDefault="00B607F4">
      <w:pPr>
        <w:tabs>
          <w:tab w:val="left" w:pos="-284"/>
        </w:tabs>
        <w:rPr>
          <w:caps/>
          <w:lang w:eastAsia="lt-LT"/>
        </w:rPr>
      </w:pPr>
    </w:p>
    <w:p w14:paraId="5FCF92CC" w14:textId="77777777" w:rsidR="00B607F4" w:rsidRDefault="00B607F4">
      <w:pPr>
        <w:tabs>
          <w:tab w:val="left" w:pos="6237"/>
          <w:tab w:val="right" w:pos="8306"/>
        </w:tabs>
        <w:rPr>
          <w:color w:val="000000"/>
          <w:lang w:eastAsia="lt-LT"/>
        </w:rPr>
      </w:pPr>
    </w:p>
    <w:p w14:paraId="5FCF92CD" w14:textId="77777777" w:rsidR="00B607F4" w:rsidRDefault="00405F24">
      <w:pPr>
        <w:jc w:val="center"/>
        <w:rPr>
          <w:b/>
          <w:bCs/>
          <w:color w:val="000000"/>
          <w:szCs w:val="24"/>
          <w:lang w:eastAsia="lt-LT"/>
        </w:rPr>
      </w:pPr>
      <w:r>
        <w:rPr>
          <w:b/>
          <w:bCs/>
          <w:color w:val="000000"/>
          <w:szCs w:val="24"/>
          <w:lang w:eastAsia="lt-LT"/>
        </w:rPr>
        <w:t xml:space="preserve">NEFORMALIOJO SUAUGUSIŲJŲ ŠVIETIMO IR TĘSTINIO MOKYMOSI </w:t>
      </w:r>
      <w:r>
        <w:rPr>
          <w:b/>
          <w:bCs/>
          <w:color w:val="000000"/>
          <w:szCs w:val="24"/>
          <w:lang w:eastAsia="lt-LT"/>
        </w:rPr>
        <w:br/>
        <w:t>2016–2023 METŲ PLĖTROS PROGRAMA</w:t>
      </w:r>
    </w:p>
    <w:p w14:paraId="5FCF92CE" w14:textId="77777777" w:rsidR="00B607F4" w:rsidRDefault="00B607F4">
      <w:pPr>
        <w:rPr>
          <w:bCs/>
          <w:color w:val="000000"/>
          <w:szCs w:val="24"/>
          <w:lang w:eastAsia="lt-LT"/>
        </w:rPr>
      </w:pPr>
    </w:p>
    <w:p w14:paraId="5FCF92CF" w14:textId="77777777" w:rsidR="00B607F4" w:rsidRDefault="00B607F4">
      <w:pPr>
        <w:rPr>
          <w:bCs/>
          <w:color w:val="000000"/>
          <w:szCs w:val="24"/>
          <w:lang w:eastAsia="lt-LT"/>
        </w:rPr>
      </w:pPr>
    </w:p>
    <w:p w14:paraId="5FCF92D0" w14:textId="77777777" w:rsidR="00B607F4" w:rsidRDefault="00405F24">
      <w:pPr>
        <w:jc w:val="center"/>
        <w:rPr>
          <w:b/>
          <w:bCs/>
          <w:color w:val="000000"/>
          <w:szCs w:val="24"/>
          <w:lang w:eastAsia="lt-LT"/>
        </w:rPr>
      </w:pPr>
      <w:r>
        <w:rPr>
          <w:b/>
          <w:bCs/>
          <w:color w:val="000000"/>
          <w:szCs w:val="24"/>
          <w:lang w:eastAsia="lt-LT"/>
        </w:rPr>
        <w:t>I SKYRIUS</w:t>
      </w:r>
    </w:p>
    <w:p w14:paraId="5FCF92D1" w14:textId="77777777" w:rsidR="00B607F4" w:rsidRDefault="00405F24">
      <w:pPr>
        <w:widowControl w:val="0"/>
        <w:jc w:val="center"/>
        <w:rPr>
          <w:b/>
          <w:caps/>
          <w:color w:val="000000"/>
          <w:szCs w:val="24"/>
          <w:lang w:eastAsia="lt-LT"/>
        </w:rPr>
      </w:pPr>
      <w:r>
        <w:rPr>
          <w:b/>
          <w:caps/>
          <w:color w:val="000000"/>
          <w:szCs w:val="24"/>
          <w:lang w:eastAsia="lt-LT"/>
        </w:rPr>
        <w:t>BENDROSIOS NUOSTATOS</w:t>
      </w:r>
    </w:p>
    <w:p w14:paraId="5FCF92D2" w14:textId="77777777" w:rsidR="00B607F4" w:rsidRDefault="00B607F4">
      <w:pPr>
        <w:widowControl w:val="0"/>
        <w:ind w:left="426" w:hanging="426"/>
        <w:jc w:val="center"/>
        <w:rPr>
          <w:b/>
          <w:caps/>
          <w:color w:val="000000"/>
          <w:szCs w:val="24"/>
          <w:lang w:eastAsia="lt-LT"/>
        </w:rPr>
      </w:pPr>
    </w:p>
    <w:p w14:paraId="5FCF92D3" w14:textId="77777777" w:rsidR="00B607F4" w:rsidRDefault="00405F24">
      <w:pPr>
        <w:tabs>
          <w:tab w:val="left" w:pos="426"/>
        </w:tabs>
        <w:spacing w:line="360" w:lineRule="atLeast"/>
        <w:ind w:firstLine="720"/>
        <w:jc w:val="both"/>
        <w:rPr>
          <w:szCs w:val="24"/>
          <w:lang w:eastAsia="lt-LT"/>
        </w:rPr>
      </w:pPr>
      <w:r>
        <w:rPr>
          <w:bCs/>
          <w:color w:val="000000"/>
          <w:szCs w:val="24"/>
          <w:lang w:eastAsia="lt-LT"/>
        </w:rPr>
        <w:t xml:space="preserve">1. Neformaliojo suaugusiųjų švietimo ir tęstinio mokymosi 2016–2023 metų plėtros programa </w:t>
      </w:r>
      <w:r>
        <w:rPr>
          <w:color w:val="000000"/>
          <w:spacing w:val="-2"/>
          <w:szCs w:val="24"/>
          <w:lang w:eastAsia="lt-LT"/>
        </w:rPr>
        <w:t xml:space="preserve">(toliau – Programa) </w:t>
      </w:r>
      <w:r>
        <w:rPr>
          <w:szCs w:val="24"/>
          <w:lang w:eastAsia="lt-LT"/>
        </w:rPr>
        <w:t xml:space="preserve">skirta Valstybinės švietimo 2013–2022 metų strategijos, patvirtintos Lietuvos Respublikos Seimo </w:t>
      </w:r>
      <w:smartTag w:uri="schemas-tilde-lv/tildestengine" w:element="metric2">
        <w:smartTagPr>
          <w:attr w:name="metric_text" w:val="m"/>
          <w:attr w:name="metric_value" w:val="2013"/>
        </w:smartTagPr>
        <w:r>
          <w:rPr>
            <w:szCs w:val="24"/>
            <w:lang w:eastAsia="lt-LT"/>
          </w:rPr>
          <w:t>2013 m</w:t>
        </w:r>
      </w:smartTag>
      <w:r>
        <w:rPr>
          <w:szCs w:val="24"/>
          <w:lang w:eastAsia="lt-LT"/>
        </w:rPr>
        <w:t xml:space="preserve">. gruodžio 23 d. nutarimu Nr. XII-745 „Dėl Valstybinės švietimo 2013–2022 metų strategijos patvirtinimo“ (toliau – Strategija), ketvirtajam tikslui – „garantuojant švietimo sistemos veiksmingumą, sukurti paskatų ir vienodų sąlygų mokytis visą gyvenimą sistemą, grįstą veiksminga pagalba atpažįstant save ir renkantis kelią veiklos pasaulyje. Derinti asmens pasirinkimą su valstybiniu planavimu“ – pasiekti ir </w:t>
      </w:r>
      <w:r>
        <w:rPr>
          <w:color w:val="000000"/>
          <w:szCs w:val="24"/>
          <w:lang w:eastAsia="lt-LT"/>
        </w:rPr>
        <w:t>Lietuvos Respublikos neformaliojo suaugusiųjų švietimo ir tęstinio mokymosi įstatymui įgyvendinti</w:t>
      </w:r>
      <w:r>
        <w:rPr>
          <w:szCs w:val="24"/>
          <w:lang w:eastAsia="lt-LT"/>
        </w:rPr>
        <w:t xml:space="preserve">. </w:t>
      </w:r>
    </w:p>
    <w:p w14:paraId="5FCF92D4" w14:textId="77777777" w:rsidR="00B607F4" w:rsidRDefault="00405F24">
      <w:pPr>
        <w:tabs>
          <w:tab w:val="left" w:pos="426"/>
        </w:tabs>
        <w:spacing w:line="360" w:lineRule="atLeast"/>
        <w:ind w:firstLine="720"/>
        <w:jc w:val="both"/>
        <w:rPr>
          <w:color w:val="000000"/>
          <w:szCs w:val="24"/>
          <w:lang w:eastAsia="lt-LT"/>
        </w:rPr>
      </w:pPr>
      <w:r>
        <w:rPr>
          <w:bCs/>
          <w:color w:val="000000"/>
          <w:szCs w:val="24"/>
          <w:lang w:eastAsia="lt-LT"/>
        </w:rPr>
        <w:t xml:space="preserve">2. Programa </w:t>
      </w:r>
      <w:r>
        <w:rPr>
          <w:szCs w:val="24"/>
          <w:lang w:eastAsia="lt-LT"/>
        </w:rPr>
        <w:t xml:space="preserve">parengta vadovaujantis Lietuvos Respublikos švietimo įstatymu (toliau – Švietimo įstatymas), </w:t>
      </w:r>
      <w:r>
        <w:rPr>
          <w:iCs/>
          <w:szCs w:val="24"/>
          <w:lang w:eastAsia="lt-LT"/>
        </w:rPr>
        <w:t xml:space="preserve">Strateginio planavimo metodika, patvirtinta Lietuvos Respublikos Vyriausybės </w:t>
      </w:r>
      <w:smartTag w:uri="schemas-tilde-lv/tildestengine" w:element="metric2">
        <w:smartTagPr>
          <w:attr w:name="metric_text" w:val="m"/>
          <w:attr w:name="metric_value" w:val="2002"/>
        </w:smartTagPr>
        <w:r>
          <w:rPr>
            <w:iCs/>
            <w:szCs w:val="24"/>
            <w:lang w:eastAsia="lt-LT"/>
          </w:rPr>
          <w:t>2002 m</w:t>
        </w:r>
      </w:smartTag>
      <w:r>
        <w:rPr>
          <w:iCs/>
          <w:szCs w:val="24"/>
          <w:lang w:eastAsia="lt-LT"/>
        </w:rPr>
        <w:t xml:space="preserve">. birželio 6 d. nutarimu Nr. 827 „Dėl Strateginio planavimo metodikos patvirtinimo“, taip pat atsižvelgiant į </w:t>
      </w:r>
      <w:r>
        <w:rPr>
          <w:color w:val="000000"/>
          <w:szCs w:val="24"/>
          <w:lang w:eastAsia="lt-LT"/>
        </w:rPr>
        <w:t xml:space="preserve">Valstybės pažangos strategiją „Lietuvos pažangos strategija „Lietuva 2030“, patvirtintą Lietuvos Respublikos Seimo 2012 m. gegužės 15 d. nutarimu Nr. XI-2015 „Dėl Valstybės pažangos strategijos „Lietuvos pažangos strategija „Lietuva 2030“ patvirtinimo“ (toliau – </w:t>
      </w:r>
      <w:r>
        <w:rPr>
          <w:szCs w:val="24"/>
          <w:lang w:eastAsia="lt-LT"/>
        </w:rPr>
        <w:t>Lietuvos pažangos strategija)</w:t>
      </w:r>
      <w:r>
        <w:rPr>
          <w:color w:val="000000"/>
          <w:szCs w:val="24"/>
          <w:lang w:eastAsia="lt-LT"/>
        </w:rPr>
        <w:t xml:space="preserve">, 2014–2020 metų nacionalinės pažangos programą, patvirtintą Lietuvos Respublikos Vyriausybės 2012 m. lapkričio 28 d. nutarimu Nr. 1482 „Dėl 2014–2020 </w:t>
      </w:r>
      <w:r>
        <w:rPr>
          <w:color w:val="000000"/>
          <w:szCs w:val="24"/>
          <w:lang w:eastAsia="lt-LT"/>
        </w:rPr>
        <w:lastRenderedPageBreak/>
        <w:t>metų nacionalinės pažangos programos patvirtinimo“ (toliau – Nacionalinė pažangos programa), Valstybinę studijų, mokslinių tyrimų ir eksperimentinės (socialinės, kultūrinės) plėtros 2013–2020 metų plėtros programą, patvirtintą Lietuvos Respublikos Vyriausybės 2012 m. gruodžio 5 d. nutarimu Nr. 1494 „Dėl Valstybinės studijų, mokslinių tyrimų ir eksperimentinės (socialinės, kultūrinės) plėtros 2013–2020 metų plėtros programos patvirtinimo“, Užimtumo didinimo 2014–2020 metų programą, patvirtintą Lietuvos Respublikos Vyriausybės 2013 m. rugsėjo 25 d. nutarimu Nr. 878 „Dėl Užimtumo didinimo 2014–2020 metų programos patvirtinimo“, ir 2013 m. birželio 28 d. Lietuvos Respublikos valstybės kontrolės valstybinio audito ataskaitoje Nr. VA-P-50-9-8 pateiktus siūlymus dėl neformaliojo suaugusiųjų švietimo sistemos plėtros.</w:t>
      </w:r>
    </w:p>
    <w:p w14:paraId="5FCF92D5" w14:textId="77777777" w:rsidR="00B607F4" w:rsidRDefault="00405F24">
      <w:pPr>
        <w:tabs>
          <w:tab w:val="left" w:pos="737"/>
        </w:tabs>
        <w:spacing w:line="360" w:lineRule="atLeast"/>
        <w:ind w:firstLine="720"/>
        <w:jc w:val="both"/>
        <w:rPr>
          <w:color w:val="000000"/>
          <w:szCs w:val="24"/>
          <w:lang w:eastAsia="lt-LT"/>
        </w:rPr>
      </w:pPr>
      <w:r>
        <w:rPr>
          <w:color w:val="000000"/>
          <w:szCs w:val="24"/>
          <w:lang w:eastAsia="lt-LT"/>
        </w:rPr>
        <w:t>3. Programos įgyvendinimas grįstas Lietuvos Respublikos neformaliojo suaugusiųjų švietimo ir tęstinio mokymosi įstatyme įtvirtintais lygių galimybių, kontekstualumo, veiksmingumo ir tęstinumo principais, siekiant įtraukti visus suinteresuotus dalyvius.</w:t>
      </w:r>
    </w:p>
    <w:p w14:paraId="5FCF92D6" w14:textId="77777777" w:rsidR="00B607F4" w:rsidRDefault="00405F24">
      <w:pPr>
        <w:tabs>
          <w:tab w:val="left" w:pos="426"/>
        </w:tabs>
        <w:spacing w:line="360" w:lineRule="atLeast"/>
        <w:ind w:firstLine="720"/>
        <w:jc w:val="both"/>
        <w:rPr>
          <w:bCs/>
          <w:caps/>
          <w:color w:val="000000"/>
          <w:szCs w:val="24"/>
          <w:lang w:eastAsia="lt-LT"/>
        </w:rPr>
      </w:pPr>
      <w:r>
        <w:rPr>
          <w:bCs/>
          <w:caps/>
          <w:color w:val="000000"/>
          <w:szCs w:val="24"/>
          <w:lang w:eastAsia="lt-LT"/>
        </w:rPr>
        <w:t xml:space="preserve">4. </w:t>
      </w:r>
      <w:r>
        <w:rPr>
          <w:bCs/>
          <w:color w:val="000000"/>
          <w:szCs w:val="24"/>
          <w:lang w:eastAsia="lt-LT"/>
        </w:rPr>
        <w:t xml:space="preserve">Programoje vartojamos sąvokos atitinka Švietimo įstatyme, </w:t>
      </w:r>
      <w:r>
        <w:rPr>
          <w:color w:val="000000"/>
          <w:szCs w:val="24"/>
          <w:lang w:eastAsia="lt-LT"/>
        </w:rPr>
        <w:t xml:space="preserve">Lietuvos Respublikos neformaliojo suaugusiųjų švietimo ir tęstinio mokymosi įstatyme, Lietuvos Respublikos profesinio mokymo įstatyme ir </w:t>
      </w:r>
      <w:r>
        <w:rPr>
          <w:bCs/>
          <w:color w:val="000000"/>
          <w:szCs w:val="24"/>
          <w:lang w:eastAsia="lt-LT"/>
        </w:rPr>
        <w:t xml:space="preserve">Lietuvos Respublikos mokslo ir studijų įstatyme </w:t>
      </w:r>
      <w:r>
        <w:rPr>
          <w:color w:val="000000"/>
          <w:szCs w:val="24"/>
          <w:lang w:eastAsia="lt-LT"/>
        </w:rPr>
        <w:t>vartojamas sąvokas.</w:t>
      </w:r>
    </w:p>
    <w:p w14:paraId="5FCF92D7" w14:textId="77777777" w:rsidR="00B607F4" w:rsidRDefault="00B607F4">
      <w:pPr>
        <w:tabs>
          <w:tab w:val="left" w:pos="426"/>
        </w:tabs>
        <w:jc w:val="center"/>
        <w:rPr>
          <w:color w:val="000000"/>
          <w:spacing w:val="-2"/>
          <w:szCs w:val="24"/>
          <w:lang w:eastAsia="lt-LT"/>
        </w:rPr>
      </w:pPr>
    </w:p>
    <w:p w14:paraId="5FCF92D8" w14:textId="77777777" w:rsidR="00B607F4" w:rsidRDefault="00405F24">
      <w:pPr>
        <w:tabs>
          <w:tab w:val="left" w:pos="426"/>
        </w:tabs>
        <w:jc w:val="center"/>
        <w:rPr>
          <w:b/>
          <w:color w:val="000000"/>
          <w:spacing w:val="-2"/>
          <w:szCs w:val="24"/>
          <w:lang w:eastAsia="lt-LT"/>
        </w:rPr>
      </w:pPr>
      <w:r>
        <w:rPr>
          <w:b/>
          <w:color w:val="000000"/>
          <w:spacing w:val="-2"/>
          <w:szCs w:val="24"/>
          <w:lang w:eastAsia="lt-LT"/>
        </w:rPr>
        <w:t>II SKYRIUS</w:t>
      </w:r>
    </w:p>
    <w:p w14:paraId="5FCF92D9" w14:textId="77777777" w:rsidR="00B607F4" w:rsidRDefault="00405F24">
      <w:pPr>
        <w:tabs>
          <w:tab w:val="left" w:pos="426"/>
        </w:tabs>
        <w:jc w:val="center"/>
        <w:rPr>
          <w:b/>
          <w:bCs/>
          <w:color w:val="000000"/>
          <w:szCs w:val="24"/>
          <w:lang w:eastAsia="lt-LT"/>
        </w:rPr>
      </w:pPr>
      <w:r>
        <w:rPr>
          <w:b/>
          <w:color w:val="000000"/>
          <w:spacing w:val="-2"/>
          <w:szCs w:val="24"/>
          <w:lang w:eastAsia="lt-LT"/>
        </w:rPr>
        <w:t>PROGRAMOS TIKSLAI (STRATEGINIS TIKSLAS), UŽDAVINIAI, VERTINIMO KRITERIJAI IR JŲ REIKŠMĖS</w:t>
      </w:r>
    </w:p>
    <w:p w14:paraId="5FCF92DA" w14:textId="77777777" w:rsidR="00B607F4" w:rsidRDefault="00B607F4">
      <w:pPr>
        <w:tabs>
          <w:tab w:val="left" w:pos="426"/>
        </w:tabs>
        <w:ind w:left="284" w:hanging="284"/>
        <w:jc w:val="center"/>
        <w:rPr>
          <w:bCs/>
          <w:color w:val="000000"/>
          <w:szCs w:val="24"/>
          <w:lang w:eastAsia="lt-LT"/>
        </w:rPr>
      </w:pPr>
    </w:p>
    <w:p w14:paraId="5FCF92DB" w14:textId="77777777" w:rsidR="00B607F4" w:rsidRDefault="00405F24">
      <w:pPr>
        <w:tabs>
          <w:tab w:val="left" w:pos="426"/>
          <w:tab w:val="left" w:pos="1260"/>
        </w:tabs>
        <w:spacing w:line="360" w:lineRule="atLeast"/>
        <w:ind w:firstLine="720"/>
        <w:jc w:val="both"/>
        <w:rPr>
          <w:color w:val="000000"/>
          <w:szCs w:val="24"/>
          <w:lang w:eastAsia="lt-LT"/>
        </w:rPr>
      </w:pPr>
      <w:r>
        <w:rPr>
          <w:color w:val="000000"/>
          <w:szCs w:val="24"/>
          <w:lang w:eastAsia="lt-LT"/>
        </w:rPr>
        <w:t xml:space="preserve">5. Programos strateginis tikslas – sukurti ir išplėtoti </w:t>
      </w:r>
      <w:r>
        <w:rPr>
          <w:bCs/>
          <w:color w:val="000000"/>
          <w:szCs w:val="24"/>
          <w:lang w:eastAsia="lt-LT"/>
        </w:rPr>
        <w:t>neformalųjį suaugusiųjų švietimą ir tęstinį mokymąsi</w:t>
      </w:r>
      <w:r>
        <w:rPr>
          <w:color w:val="000000"/>
          <w:szCs w:val="24"/>
          <w:lang w:eastAsia="lt-LT"/>
        </w:rPr>
        <w:t xml:space="preserve"> laiduojančią ir prieinamą, socialiai teisingą švietimo sistemą, atitinkančią atviroje pilietinėje visuomenėje darbo rinkoje veikiančio asmens ir visuomenės poreikius.</w:t>
      </w:r>
    </w:p>
    <w:p w14:paraId="5FCF92DC" w14:textId="77777777" w:rsidR="00B607F4" w:rsidRDefault="00405F24">
      <w:pPr>
        <w:tabs>
          <w:tab w:val="left" w:pos="426"/>
          <w:tab w:val="left" w:pos="1260"/>
        </w:tabs>
        <w:spacing w:line="360" w:lineRule="atLeast"/>
        <w:ind w:firstLine="720"/>
        <w:jc w:val="both"/>
        <w:rPr>
          <w:color w:val="000000"/>
          <w:szCs w:val="24"/>
          <w:lang w:eastAsia="lt-LT"/>
        </w:rPr>
      </w:pPr>
      <w:r>
        <w:rPr>
          <w:color w:val="000000"/>
          <w:szCs w:val="24"/>
          <w:lang w:eastAsia="lt-LT"/>
        </w:rPr>
        <w:t>6. Programos strateginio tikslo aplinka:</w:t>
      </w:r>
    </w:p>
    <w:p w14:paraId="5FCF92DD" w14:textId="77777777" w:rsidR="00B607F4" w:rsidRDefault="00405F24">
      <w:pPr>
        <w:spacing w:line="360" w:lineRule="atLeast"/>
        <w:ind w:firstLine="720"/>
        <w:jc w:val="both"/>
        <w:rPr>
          <w:rFonts w:eastAsia="Calibri"/>
          <w:b/>
          <w:color w:val="000000"/>
          <w:szCs w:val="24"/>
        </w:rPr>
      </w:pPr>
      <w:r>
        <w:rPr>
          <w:rFonts w:eastAsia="Calibri"/>
          <w:color w:val="000000"/>
          <w:szCs w:val="24"/>
        </w:rPr>
        <w:t>6.1. M</w:t>
      </w:r>
      <w:r>
        <w:rPr>
          <w:rFonts w:eastAsia="Calibri"/>
          <w:color w:val="000000"/>
          <w:szCs w:val="24"/>
          <w:bdr w:val="none" w:sz="0" w:space="0" w:color="auto" w:frame="1"/>
        </w:rPr>
        <w:t xml:space="preserve">okymuisi visą gyvenimą daugiau dėmesio skiriama po to, kai Lietuva įstojo į Europos Sąjungą (toliau – ES). </w:t>
      </w:r>
      <w:r>
        <w:rPr>
          <w:rFonts w:eastAsia="Calibri"/>
          <w:color w:val="000000"/>
          <w:szCs w:val="24"/>
        </w:rPr>
        <w:t xml:space="preserve">Lietuvos pažangos </w:t>
      </w:r>
      <w:r>
        <w:rPr>
          <w:rFonts w:eastAsia="Calibri"/>
          <w:color w:val="000000"/>
          <w:szCs w:val="24"/>
        </w:rPr>
        <w:lastRenderedPageBreak/>
        <w:t>strategijoje mokymasis visą gyvenimą minimas kaip vienas iš pagrindinių veiksnių, užtikrinančių Lietuvos visuomenės pasirengimą pasaulio kaitai ir leidžiančių kurti sumanią visuomenę.</w:t>
      </w:r>
    </w:p>
    <w:p w14:paraId="5FCF92DE" w14:textId="77777777" w:rsidR="00B607F4" w:rsidRDefault="00405F24">
      <w:pPr>
        <w:spacing w:line="360" w:lineRule="atLeast"/>
        <w:ind w:firstLine="720"/>
        <w:jc w:val="both"/>
        <w:rPr>
          <w:color w:val="000000"/>
          <w:szCs w:val="24"/>
          <w:lang w:eastAsia="lt-LT"/>
        </w:rPr>
      </w:pPr>
      <w:r>
        <w:rPr>
          <w:color w:val="000000"/>
          <w:szCs w:val="24"/>
          <w:lang w:eastAsia="lt-LT"/>
        </w:rPr>
        <w:t>6.2. Pažangaus, tvaraus ir integracinio augimo strategijoje „Europa 2020“ (</w:t>
      </w:r>
      <w:r>
        <w:rPr>
          <w:szCs w:val="24"/>
          <w:lang w:eastAsia="lt-LT"/>
        </w:rPr>
        <w:t>COM (2010) 2020, 2010 3 3.)</w:t>
      </w:r>
      <w:r>
        <w:rPr>
          <w:color w:val="000000"/>
          <w:szCs w:val="24"/>
          <w:lang w:eastAsia="lt-LT"/>
        </w:rPr>
        <w:t xml:space="preserve"> pripažįstama, kad mokymasis visą gyvenimą ir gebėjimų ugdymas – svarbiausi elementai, reaguojant į esamą ekonomikos krizę bei gyventojų senėjimą ir atsižvelgiant į platesnę ES ekonominę ir socialinę strategiją.</w:t>
      </w:r>
    </w:p>
    <w:p w14:paraId="5FCF92DF" w14:textId="77777777" w:rsidR="00B607F4" w:rsidRDefault="00405F24">
      <w:pPr>
        <w:tabs>
          <w:tab w:val="left" w:pos="426"/>
        </w:tabs>
        <w:spacing w:line="360" w:lineRule="atLeast"/>
        <w:ind w:firstLine="720"/>
        <w:jc w:val="both"/>
        <w:rPr>
          <w:b/>
          <w:color w:val="000000"/>
          <w:szCs w:val="24"/>
          <w:lang w:eastAsia="lt-LT"/>
        </w:rPr>
      </w:pPr>
      <w:r>
        <w:rPr>
          <w:color w:val="000000"/>
          <w:szCs w:val="24"/>
          <w:lang w:eastAsia="en-GB"/>
        </w:rPr>
        <w:t>6.3.</w:t>
      </w:r>
      <w:r>
        <w:rPr>
          <w:b/>
          <w:color w:val="000000"/>
          <w:szCs w:val="24"/>
          <w:lang w:eastAsia="en-GB"/>
        </w:rPr>
        <w:t xml:space="preserve"> </w:t>
      </w:r>
      <w:r>
        <w:rPr>
          <w:color w:val="000000"/>
          <w:szCs w:val="24"/>
          <w:lang w:eastAsia="lt-LT"/>
        </w:rPr>
        <w:t>Lietuva – viena iš ES valstybių, turinčių puikias galimybes plėtoti tolesnį suaugusiųjų mokymąsi, nes tik 6,6 procento jos gyventojų įgiję žemesnį nei vidurinį išsilavinimą (ES vidurkis – 24,8 procento), tačiau pagal mokymosi visą gyvenimą rodiklius Lietuva tarp ES valstybių užima 21 vietą – 2014 metais tik 5 procentai Lietuvos suaugusiųjų buvo įsitraukę į mokymosi veiklas (ES 2014 metų vidurkis – 10,7 procento), todėl šios ve</w:t>
      </w:r>
      <w:r>
        <w:rPr>
          <w:szCs w:val="24"/>
          <w:lang w:eastAsia="lt-LT"/>
        </w:rPr>
        <w:t>iklos vykdymo ir poveikio vertinimo sistemas vis dar reikia tobulinti.</w:t>
      </w:r>
    </w:p>
    <w:p w14:paraId="5FCF92E0" w14:textId="77777777" w:rsidR="00B607F4" w:rsidRDefault="00405F24">
      <w:pPr>
        <w:keepNext/>
        <w:tabs>
          <w:tab w:val="left" w:pos="426"/>
        </w:tabs>
        <w:spacing w:line="360" w:lineRule="atLeast"/>
        <w:ind w:firstLine="720"/>
        <w:jc w:val="both"/>
        <w:rPr>
          <w:caps/>
          <w:color w:val="000000"/>
          <w:szCs w:val="24"/>
          <w:lang w:eastAsia="lt-LT"/>
        </w:rPr>
      </w:pPr>
      <w:r>
        <w:rPr>
          <w:caps/>
          <w:color w:val="000000"/>
          <w:szCs w:val="24"/>
          <w:lang w:eastAsia="lt-LT"/>
        </w:rPr>
        <w:t xml:space="preserve">6.4. </w:t>
      </w:r>
      <w:r>
        <w:rPr>
          <w:color w:val="000000"/>
          <w:szCs w:val="24"/>
          <w:lang w:eastAsia="lt-LT"/>
        </w:rPr>
        <w:t>Europos Sąjungos Taryba 2012 m. gruodžio 20 d. priėmė rekomendaciją dėl neformaliojo mokymosi ir savišvietos rezultatų patvirtinimo (OL 2012, C 398, p. 1–5), kuria vadovaudamosi ES valstybės narės turėtų ne vėliau kaip 2018 metais, atsižvelgdamos į nacionalines aplinkybes ir ypatumus ir tokiu mastu, kokį laiko tinkamu, nustatyti neformaliojo švietimo ir savišvietos būdu įgytų kompetencijų patvirtinimo priemones.</w:t>
      </w:r>
    </w:p>
    <w:p w14:paraId="5FCF92E1" w14:textId="77777777" w:rsidR="00B607F4" w:rsidRDefault="00405F24">
      <w:pPr>
        <w:keepNext/>
        <w:tabs>
          <w:tab w:val="left" w:pos="426"/>
        </w:tabs>
        <w:spacing w:line="360" w:lineRule="atLeast"/>
        <w:ind w:firstLine="720"/>
        <w:jc w:val="both"/>
        <w:rPr>
          <w:caps/>
          <w:color w:val="000000"/>
          <w:szCs w:val="24"/>
          <w:lang w:eastAsia="lt-LT"/>
        </w:rPr>
      </w:pPr>
      <w:r>
        <w:rPr>
          <w:rFonts w:eastAsia="Calibri"/>
          <w:bCs/>
          <w:color w:val="000000"/>
          <w:szCs w:val="24"/>
        </w:rPr>
        <w:t>6.5. Incheone (Korėjos Respublika) 2015 m. gegužės 19–22 d. vykusiame Pasaulio švietimo forume patvirtinta deklaracija „Švietimas 2030: siekiant įtraukaus, teisingo ir kokybiško švietimo ir mokymosi visą gyvenimą visiems“, kuri tapo sudėtine 2015 metų Jungtinių Tautų programos „Darnaus vystymosi tikslai“ dalimi. Naujojoje deklaracijoje pateikta bendra pasaulio švietimo bendruomenės pozicija dėl ateities švietimo gairių, tikslų ir pagrindinių 2015–2030</w:t>
      </w:r>
      <w:r>
        <w:rPr>
          <w:rFonts w:ascii="HelveticaLT" w:hAnsi="HelveticaLT"/>
          <w:caps/>
          <w:color w:val="000000"/>
          <w:sz w:val="32"/>
          <w:szCs w:val="24"/>
          <w:lang w:eastAsia="lt-LT"/>
        </w:rPr>
        <w:t> </w:t>
      </w:r>
      <w:r>
        <w:rPr>
          <w:rFonts w:eastAsia="Calibri"/>
          <w:bCs/>
          <w:color w:val="000000"/>
          <w:szCs w:val="24"/>
        </w:rPr>
        <w:t>metų uždavinių.</w:t>
      </w:r>
      <w:r>
        <w:rPr>
          <w:color w:val="000000"/>
          <w:szCs w:val="24"/>
          <w:lang w:eastAsia="lt-LT"/>
        </w:rPr>
        <w:t xml:space="preserve"> Vienas iš svarbiausių kriterijų – gebėjimo mokytis ugdymas, kuris neatsiejamas nuo mokymosi visą gyvenimą idėjos. </w:t>
      </w:r>
    </w:p>
    <w:p w14:paraId="5FCF92E2" w14:textId="77777777" w:rsidR="00B607F4" w:rsidRDefault="00405F24">
      <w:pPr>
        <w:keepNext/>
        <w:tabs>
          <w:tab w:val="left" w:pos="426"/>
        </w:tabs>
        <w:spacing w:line="360" w:lineRule="atLeast"/>
        <w:ind w:firstLine="720"/>
        <w:jc w:val="both"/>
        <w:rPr>
          <w:caps/>
          <w:color w:val="000000"/>
          <w:szCs w:val="24"/>
          <w:lang w:eastAsia="en-GB"/>
        </w:rPr>
      </w:pPr>
      <w:r>
        <w:rPr>
          <w:color w:val="000000"/>
          <w:szCs w:val="24"/>
          <w:lang w:eastAsia="en-GB"/>
        </w:rPr>
        <w:t>7. Programos tikslai:</w:t>
      </w:r>
    </w:p>
    <w:p w14:paraId="5FCF92E3" w14:textId="77777777" w:rsidR="00B607F4" w:rsidRDefault="00405F24">
      <w:pPr>
        <w:tabs>
          <w:tab w:val="left" w:pos="426"/>
          <w:tab w:val="left" w:pos="1134"/>
        </w:tabs>
        <w:spacing w:line="360" w:lineRule="atLeast"/>
        <w:ind w:firstLine="720"/>
        <w:jc w:val="both"/>
        <w:rPr>
          <w:caps/>
          <w:color w:val="000000"/>
          <w:szCs w:val="24"/>
          <w:lang w:eastAsia="en-GB"/>
        </w:rPr>
      </w:pPr>
      <w:r>
        <w:rPr>
          <w:caps/>
          <w:color w:val="000000"/>
          <w:szCs w:val="24"/>
          <w:lang w:eastAsia="en-GB"/>
        </w:rPr>
        <w:t>7.1.</w:t>
      </w:r>
      <w:r>
        <w:rPr>
          <w:caps/>
          <w:color w:val="000000"/>
          <w:szCs w:val="24"/>
          <w:lang w:eastAsia="en-GB"/>
        </w:rPr>
        <w:tab/>
      </w:r>
      <w:r>
        <w:rPr>
          <w:color w:val="000000"/>
          <w:szCs w:val="24"/>
          <w:lang w:eastAsia="en-GB"/>
        </w:rPr>
        <w:t>sukurti ir išplėtoti darnią suaugusiųjų švietimo sistemą;</w:t>
      </w:r>
    </w:p>
    <w:p w14:paraId="5FCF92E4" w14:textId="77777777" w:rsidR="00B607F4" w:rsidRDefault="00405F24">
      <w:pPr>
        <w:tabs>
          <w:tab w:val="left" w:pos="426"/>
          <w:tab w:val="left" w:pos="1134"/>
        </w:tabs>
        <w:spacing w:line="360" w:lineRule="atLeast"/>
        <w:ind w:firstLine="720"/>
        <w:jc w:val="both"/>
        <w:rPr>
          <w:caps/>
          <w:color w:val="000000"/>
          <w:szCs w:val="24"/>
          <w:lang w:eastAsia="en-GB"/>
        </w:rPr>
      </w:pPr>
      <w:r>
        <w:rPr>
          <w:caps/>
          <w:color w:val="000000"/>
          <w:szCs w:val="24"/>
          <w:lang w:eastAsia="en-GB"/>
        </w:rPr>
        <w:lastRenderedPageBreak/>
        <w:t>7.2.</w:t>
      </w:r>
      <w:r>
        <w:rPr>
          <w:caps/>
          <w:color w:val="000000"/>
          <w:szCs w:val="24"/>
          <w:lang w:eastAsia="en-GB"/>
        </w:rPr>
        <w:tab/>
      </w:r>
      <w:r>
        <w:rPr>
          <w:color w:val="000000"/>
          <w:szCs w:val="24"/>
          <w:lang w:eastAsia="en-GB"/>
        </w:rPr>
        <w:t>suderinti mokymąsi visą gyvenimą su šalies ūkio ir visuomenės poreikiais.</w:t>
      </w:r>
    </w:p>
    <w:p w14:paraId="5FCF92E5" w14:textId="77777777" w:rsidR="00B607F4" w:rsidRDefault="00405F24">
      <w:pPr>
        <w:keepNext/>
        <w:tabs>
          <w:tab w:val="left" w:pos="426"/>
        </w:tabs>
        <w:spacing w:line="360" w:lineRule="atLeast"/>
        <w:ind w:firstLine="720"/>
        <w:jc w:val="both"/>
        <w:rPr>
          <w:caps/>
          <w:color w:val="000000"/>
          <w:szCs w:val="24"/>
          <w:lang w:eastAsia="en-GB"/>
        </w:rPr>
      </w:pPr>
      <w:r>
        <w:rPr>
          <w:color w:val="000000"/>
          <w:szCs w:val="24"/>
          <w:lang w:eastAsia="en-GB"/>
        </w:rPr>
        <w:t>8. Pirmojo Programos tikslo pagrindimas:</w:t>
      </w:r>
    </w:p>
    <w:p w14:paraId="5FCF92E6" w14:textId="77777777" w:rsidR="00B607F4" w:rsidRDefault="00405F24">
      <w:pPr>
        <w:keepNext/>
        <w:tabs>
          <w:tab w:val="left" w:pos="426"/>
        </w:tabs>
        <w:spacing w:line="360" w:lineRule="atLeast"/>
        <w:ind w:firstLine="720"/>
        <w:jc w:val="both"/>
        <w:rPr>
          <w:caps/>
          <w:color w:val="000000"/>
          <w:szCs w:val="24"/>
          <w:lang w:eastAsia="lt-LT"/>
        </w:rPr>
      </w:pPr>
      <w:r>
        <w:rPr>
          <w:color w:val="000000"/>
          <w:szCs w:val="24"/>
          <w:lang w:eastAsia="lt-LT"/>
        </w:rPr>
        <w:t>8.1. Vienas iš 4 Strategijos tikslų skirtas mokymosi visą gyvenimą sričiai – garantuojant švietimo sistemos veiksmingumą, sukurti paskatų ir vienodų sąlygų mokytis visą gyvenimą sistemą, grįstą veiksminga pagalba atpažįstant save ir renkantis kelią veiklos pasaulyje. Siekiant šio tikslo, telkiamos švietimo pastangos skatinti mokymosi visą gyvenimą įvairovę ir kurti lankstesnę prieinamumo sistemą, stiprinti motyvaciją mokytis, plėtoti mokymosi visą gyvenimą integralumą, sudaryti sąlygas asmenims savarankiškai valdyti karjerą ir sukurti darnią suaugusiųjų švietimo sistemą.</w:t>
      </w:r>
    </w:p>
    <w:p w14:paraId="5FCF92E7" w14:textId="77777777" w:rsidR="00B607F4" w:rsidRDefault="00405F24">
      <w:pPr>
        <w:keepNext/>
        <w:tabs>
          <w:tab w:val="left" w:pos="426"/>
        </w:tabs>
        <w:spacing w:line="360" w:lineRule="atLeast"/>
        <w:ind w:firstLine="720"/>
        <w:jc w:val="both"/>
        <w:rPr>
          <w:caps/>
          <w:color w:val="000000"/>
          <w:szCs w:val="24"/>
          <w:lang w:eastAsia="lt-LT"/>
        </w:rPr>
      </w:pPr>
      <w:r>
        <w:rPr>
          <w:color w:val="000000"/>
          <w:szCs w:val="24"/>
          <w:lang w:eastAsia="lt-LT"/>
        </w:rPr>
        <w:t>8.2. Lietuva yra nemažai pasiekusi švietimo prieinamumo srityje. Šalis pirmauja (nuo 2010 metų) dešimtuke ES valstybių, kuriose daugiausia darbingo amžiaus (25–64 metų) asmenų, turinčių bent vidurinį išsilavinimą, dešimtuke, tačiau atsilieka pagal įtraukties į suaugusiųjų mokymąsi visą gyvenimą lygį, turi socialinės atskirties rizikos grupių, ypač jaunimo, kurioms neužtikrinamos lygios galimybės dalyvauti visuomenės gyvenime, jie sunkiai integruojasi į darbo rinką. Lietuvoje būtina plėtoti švietimo sistemos alternatyvas, kurios būtų prieinamos, patrauklios ir vertingos dabar menkai į mokymąsi įtrauktoms visuomenės grupėms – socialinės rizikos grupės jaunimui, suaugusiesiems, taip pat kaimo gyventojams. Šalyje reikėtų numatyti įvairesnes paskatas ir sudaryti sąlygas mokytis įvairaus amžiaus asmenims, net ir gyvenantiems atokesnėse kaimo vietovėse, ugdyti kiekvieno gebėjimą atpažinti save veiklos pasaulyje ir sudaryti sąlygas formalizuoti turimas žinias ir kompetencijas, neatsižvelgiant į tai, ar jos įgytos savarankiškai mokantis, ar veikiant praktiškai, formaliojo ar neformaliojo švietimo būdu.</w:t>
      </w:r>
    </w:p>
    <w:p w14:paraId="5FCF92E8" w14:textId="77777777" w:rsidR="00B607F4" w:rsidRDefault="00405F24">
      <w:pPr>
        <w:keepNext/>
        <w:tabs>
          <w:tab w:val="left" w:pos="426"/>
        </w:tabs>
        <w:spacing w:line="360" w:lineRule="atLeast"/>
        <w:ind w:firstLine="720"/>
        <w:jc w:val="both"/>
        <w:rPr>
          <w:color w:val="000000"/>
          <w:szCs w:val="24"/>
          <w:lang w:eastAsia="lt-LT"/>
        </w:rPr>
      </w:pPr>
      <w:r>
        <w:rPr>
          <w:color w:val="000000"/>
          <w:szCs w:val="24"/>
          <w:lang w:eastAsia="lt-LT"/>
        </w:rPr>
        <w:t xml:space="preserve">8.3. Pagal suaugusiųjų bendrojo ugdymo programas kasmet mokosi 10–12 tūkst. asmenų. Šias programas vykdo kiekvienoje savivaldybėje esantis suaugusiųjų mokymo centras ar bendrojo ugdymo mokyklų struktūriniai padaliniai. Šių įstaigų veikla per metus kainuoja per </w:t>
      </w:r>
      <w:r>
        <w:rPr>
          <w:color w:val="000000"/>
          <w:szCs w:val="24"/>
          <w:lang w:eastAsia="lt-LT"/>
        </w:rPr>
        <w:lastRenderedPageBreak/>
        <w:t>8</w:t>
      </w:r>
      <w:r>
        <w:rPr>
          <w:rFonts w:ascii="HelveticaLT" w:hAnsi="HelveticaLT"/>
          <w:caps/>
          <w:color w:val="000000"/>
          <w:sz w:val="32"/>
          <w:szCs w:val="24"/>
          <w:lang w:eastAsia="lt-LT"/>
        </w:rPr>
        <w:t> </w:t>
      </w:r>
      <w:r>
        <w:rPr>
          <w:color w:val="000000"/>
          <w:szCs w:val="24"/>
          <w:lang w:eastAsia="lt-LT"/>
        </w:rPr>
        <w:t>mln. eurų. Šiuo metu tai – vienas iš pigiausių ir paveikiausių mokymosi būdų, geriausiai padedantis įveikti socialinę atskirtį, ypač svarbus mažesniuose miestuose ir kaimo gyvenamosiose vietovėse.</w:t>
      </w:r>
    </w:p>
    <w:p w14:paraId="5FCF92E9" w14:textId="77777777" w:rsidR="00B607F4" w:rsidRDefault="00405F24">
      <w:pPr>
        <w:tabs>
          <w:tab w:val="left" w:pos="426"/>
        </w:tabs>
        <w:spacing w:line="360" w:lineRule="atLeast"/>
        <w:ind w:firstLine="720"/>
        <w:jc w:val="both"/>
        <w:rPr>
          <w:color w:val="000000"/>
          <w:szCs w:val="24"/>
          <w:lang w:eastAsia="lt-LT"/>
        </w:rPr>
      </w:pPr>
      <w:r>
        <w:rPr>
          <w:color w:val="000000"/>
          <w:szCs w:val="24"/>
          <w:lang w:eastAsia="lt-LT"/>
        </w:rPr>
        <w:t>8.4. Viešosios politikos ir vadybos instituto atliktos analizės išvadose pažymima, kad 2004–2013 metų ES paramos lėšomis daugiausia buvo remiamos tos visuomenės grupės, kurios greičiausiai būtų mokęsi ir be valstybės paramos, taip pat pernelyg daug lėšų išleista mokymosi pasiūlai gerinti: ypač mokymo ir studijų programoms, mokymo ir metodinei medžiagai ir kitoms reikmėms.</w:t>
      </w:r>
    </w:p>
    <w:p w14:paraId="5FCF92EA" w14:textId="77777777" w:rsidR="00B607F4" w:rsidRDefault="00405F24">
      <w:pPr>
        <w:tabs>
          <w:tab w:val="left" w:pos="426"/>
        </w:tabs>
        <w:spacing w:line="360" w:lineRule="atLeast"/>
        <w:ind w:firstLine="720"/>
        <w:jc w:val="both"/>
        <w:rPr>
          <w:color w:val="000000"/>
          <w:szCs w:val="24"/>
          <w:lang w:eastAsia="lt-LT"/>
        </w:rPr>
      </w:pPr>
      <w:r>
        <w:rPr>
          <w:color w:val="000000"/>
          <w:szCs w:val="24"/>
          <w:lang w:eastAsia="lt-LT"/>
        </w:rPr>
        <w:t>8.5. 2014 metais baigti Suaugusiųjų mokymosi informacinės sistemos (www.smis.lt) kūrimo darbai, įdiegta nauja interaktyvi elektroninio mokymosi paslauga, skirta sudaryti sąlygas kuo didesnei visuomenės daliai aktyviai dalyvauti tęstinio mokymosi veikloje. Kiekvienas šalies gyventojas internete jau gali sužinoti apie neformaliojo suaugusiųjų mokymosi galimybes – susirasti nemokamą, profesionaliai parengtą įvairių sričių mokomąją medžiagą ir pasitikrinti įgytas žinias.</w:t>
      </w:r>
    </w:p>
    <w:p w14:paraId="5FCF92EB" w14:textId="77777777" w:rsidR="00B607F4" w:rsidRDefault="00405F24">
      <w:pPr>
        <w:tabs>
          <w:tab w:val="left" w:pos="426"/>
        </w:tabs>
        <w:spacing w:line="360" w:lineRule="atLeast"/>
        <w:ind w:firstLine="720"/>
        <w:jc w:val="both"/>
        <w:rPr>
          <w:color w:val="000000"/>
          <w:szCs w:val="24"/>
          <w:lang w:eastAsia="lt-LT"/>
        </w:rPr>
      </w:pPr>
      <w:r>
        <w:rPr>
          <w:color w:val="000000"/>
          <w:szCs w:val="24"/>
          <w:lang w:eastAsia="lt-LT"/>
        </w:rPr>
        <w:t>8.6. Strateginiuose ES ir Lietuvos švietimo sritį reglamentuojančiuose dokumentuose pabrėžiama – plėtojant mokymosi visą gyvenimą sistemas, būtina didinti suaugusiųjų mokymosi galimybių prieinamumą ir skatinti mokymosi visą gyvenimą įvairovę. Siekdama plėtoti neformaliojo suaugusiųjų švietimo paslaugas ir pritaikyti jas visuomenės ir darbo rinkos poreikiams, Lietuvos Respublikos švietimo ir mokslo ministerija 2014 ir 2015 metais skelbė neformaliojo suaugusiųjų švietimo programų finansavimo konkursus, nustačiusi, kad prioritetinės veiklos – mokymosi visą gyvenimą paslaugų plėtra regionuose, darbo rinkai reikalingų suaugusiųjų bendrųjų kompetencijų ugdymas ir neformaliojo suaugusiųjų švietimo paslaugų plėtra formaliojo švietimo mokyklose.</w:t>
      </w:r>
    </w:p>
    <w:p w14:paraId="5FCF92EC" w14:textId="77777777" w:rsidR="00B607F4" w:rsidRDefault="00405F24">
      <w:pPr>
        <w:spacing w:line="360" w:lineRule="atLeast"/>
        <w:ind w:firstLine="720"/>
        <w:jc w:val="both"/>
        <w:rPr>
          <w:szCs w:val="24"/>
          <w:lang w:eastAsia="lt-LT"/>
        </w:rPr>
      </w:pPr>
      <w:r>
        <w:rPr>
          <w:color w:val="000000"/>
          <w:szCs w:val="24"/>
          <w:lang w:eastAsia="lt-LT"/>
        </w:rPr>
        <w:t xml:space="preserve">8.7. </w:t>
      </w:r>
      <w:r>
        <w:rPr>
          <w:szCs w:val="24"/>
          <w:lang w:eastAsia="lt-LT"/>
        </w:rPr>
        <w:t>Lietuvos gyventojai sensta kone sparčiausiai ES. 2011 metais 16,5 procento visų Lietuvos gyventojų sudarė asmenys, vyresni nei 65 metų. 2014–2020 metų Europos Sąjungos fondų investicijų veiksmų programoje pažymima, kad, atsižvelgiant į santykinį visuomenės senėjimą, dar aktualesnis taps suaugusiųjų mokymasis visą gyvenimą. V</w:t>
      </w:r>
      <w:r>
        <w:rPr>
          <w:color w:val="000000"/>
          <w:szCs w:val="24"/>
          <w:lang w:eastAsia="lt-LT"/>
        </w:rPr>
        <w:t xml:space="preserve">iena iš svarbių veiklos plėtojant mokymosi visą gyvenimą galimybes vyresnio amžiaus asmenims sričių – programų trečiojo amžiaus </w:t>
      </w:r>
      <w:r>
        <w:rPr>
          <w:color w:val="000000"/>
          <w:szCs w:val="24"/>
          <w:lang w:eastAsia="lt-LT"/>
        </w:rPr>
        <w:lastRenderedPageBreak/>
        <w:t>asmenims įgyvendinimas, finansuojamas konkurso būdu. Atliktas 2011 metais taikomasis suaugusiųjų švietimo tyrimas atskleidė, kad Lietuvoje mokosi beveik 200 tūkst. (55–74 metų) asmenų, kurių mokymosi poreikiai tenkinami iš dalies. Tačiau trečiojo amžiaus universitetų ir suaugusiųjų švietimo centrų infrastruktūros nepakanka šiems poreikiams tenkinti, todėl kiekviena aukštoji ar profesinė mokykla turi tapti kokybiška mokymosi visą gyvenimą mokykla. Konkurso būdu daugiau švietimo institucijų būtina įtraukti į vyresnio amžiaus asmenų mokymosi poreikių tenkinimą, sudaryti jiems sąlygas oriai senti arba galimybes sugrįžti į darbo rinką.</w:t>
      </w:r>
      <w:r>
        <w:rPr>
          <w:b/>
          <w:color w:val="000000"/>
          <w:szCs w:val="24"/>
          <w:lang w:eastAsia="lt-LT"/>
        </w:rPr>
        <w:t xml:space="preserve"> </w:t>
      </w:r>
    </w:p>
    <w:p w14:paraId="5FCF92ED" w14:textId="77777777" w:rsidR="00B607F4" w:rsidRDefault="00405F24">
      <w:pPr>
        <w:keepNext/>
        <w:tabs>
          <w:tab w:val="left" w:pos="426"/>
        </w:tabs>
        <w:spacing w:line="360" w:lineRule="atLeast"/>
        <w:ind w:firstLine="720"/>
        <w:jc w:val="both"/>
        <w:rPr>
          <w:caps/>
          <w:color w:val="000000"/>
          <w:szCs w:val="24"/>
          <w:lang w:eastAsia="lt-LT"/>
        </w:rPr>
      </w:pPr>
      <w:r>
        <w:rPr>
          <w:caps/>
          <w:color w:val="000000"/>
          <w:szCs w:val="24"/>
          <w:lang w:eastAsia="lt-LT"/>
        </w:rPr>
        <w:t xml:space="preserve">9. </w:t>
      </w:r>
      <w:r>
        <w:rPr>
          <w:color w:val="000000"/>
          <w:szCs w:val="24"/>
          <w:lang w:eastAsia="lt-LT"/>
        </w:rPr>
        <w:t>Veiklos kryptys (uždaviniai) pirmajam Programos tikslui pasiekti:</w:t>
      </w:r>
    </w:p>
    <w:p w14:paraId="5FCF92EE" w14:textId="77777777" w:rsidR="00B607F4" w:rsidRDefault="00405F24">
      <w:pPr>
        <w:tabs>
          <w:tab w:val="left" w:pos="1134"/>
          <w:tab w:val="left" w:pos="7513"/>
        </w:tabs>
        <w:spacing w:line="360" w:lineRule="atLeast"/>
        <w:ind w:firstLine="720"/>
        <w:jc w:val="both"/>
        <w:rPr>
          <w:color w:val="000000"/>
          <w:szCs w:val="24"/>
          <w:lang w:eastAsia="lt-LT"/>
        </w:rPr>
      </w:pPr>
      <w:r>
        <w:rPr>
          <w:color w:val="000000"/>
          <w:szCs w:val="24"/>
          <w:lang w:eastAsia="lt-LT"/>
        </w:rPr>
        <w:t>9.1. sukurti finansinių, teisinių, organizacinių paskatų sistemą, leisiančią formuoti glaudesnį švietimo teikėjų tinklą, apimančią neformaliojo suaugusiųjų švietimo finansavimo mechanizmą, informavimą ir konsultavimą, numatyti priemones švietimo pasiūlos įvairovei ir kokybei užtikrinti;</w:t>
      </w:r>
    </w:p>
    <w:p w14:paraId="5FCF92EF" w14:textId="77777777" w:rsidR="00B607F4" w:rsidRDefault="00405F24">
      <w:pPr>
        <w:tabs>
          <w:tab w:val="left" w:pos="1134"/>
        </w:tabs>
        <w:spacing w:line="360" w:lineRule="atLeast"/>
        <w:ind w:firstLine="720"/>
        <w:jc w:val="both"/>
        <w:rPr>
          <w:color w:val="000000"/>
          <w:spacing w:val="-2"/>
          <w:szCs w:val="24"/>
          <w:lang w:eastAsia="lt-LT"/>
        </w:rPr>
      </w:pPr>
      <w:r>
        <w:rPr>
          <w:color w:val="000000"/>
          <w:szCs w:val="24"/>
          <w:lang w:eastAsia="lt-LT"/>
        </w:rPr>
        <w:t>9.2. plėtoti mokymosi visą gyvenimą paslaugas, ypač asmenims, gyvenantiems mažuose miesteliuose ir kaimuose, Lietuvos Respublikos Vyriausybės nustatytose teritorijose, kuriose didžiausi socialiniai, ekonominiai netolygumai, ir skirti neformaliojo suaugusiųjų švietimo ir tęstinio mokymosi koordinatorius savivaldybėse;</w:t>
      </w:r>
    </w:p>
    <w:p w14:paraId="5FCF92F0" w14:textId="77777777" w:rsidR="00B607F4" w:rsidRDefault="00405F24">
      <w:pPr>
        <w:tabs>
          <w:tab w:val="left" w:pos="1134"/>
          <w:tab w:val="left" w:pos="7513"/>
        </w:tabs>
        <w:spacing w:line="360" w:lineRule="atLeast"/>
        <w:ind w:firstLine="720"/>
        <w:jc w:val="both"/>
        <w:rPr>
          <w:color w:val="000000"/>
          <w:spacing w:val="-2"/>
          <w:szCs w:val="24"/>
          <w:lang w:eastAsia="lt-LT"/>
        </w:rPr>
      </w:pPr>
      <w:r>
        <w:rPr>
          <w:color w:val="000000"/>
          <w:szCs w:val="24"/>
          <w:lang w:eastAsia="lt-LT"/>
        </w:rPr>
        <w:t>9.3. sudaryti sąlygas suaugusiesiems įgyti bendrųjų kompetencijų ir formuoti jiems teigiamas mokymosi visą gyvenimą nuostatas, plėtoti formaliojo ir neformaliojo švietimo galimybes, skaitmeninio mokymosi turinį ir programas, sukurti neformaliojo ir praktinio mokymosi metu įgytų kompetencijų pripažinimo mechanizmus.</w:t>
      </w:r>
    </w:p>
    <w:p w14:paraId="5FCF92F1" w14:textId="77777777" w:rsidR="00B607F4" w:rsidRDefault="00405F24">
      <w:pPr>
        <w:tabs>
          <w:tab w:val="left" w:pos="1134"/>
        </w:tabs>
        <w:spacing w:line="360" w:lineRule="atLeast"/>
        <w:ind w:firstLine="720"/>
        <w:jc w:val="both"/>
        <w:rPr>
          <w:color w:val="000000"/>
          <w:szCs w:val="24"/>
          <w:lang w:eastAsia="en-GB"/>
        </w:rPr>
      </w:pPr>
      <w:r>
        <w:rPr>
          <w:color w:val="000000"/>
          <w:szCs w:val="24"/>
          <w:lang w:eastAsia="en-GB"/>
        </w:rPr>
        <w:t>10. Antrojo Programos tikslo pagrindimas:</w:t>
      </w:r>
    </w:p>
    <w:p w14:paraId="5FCF92F2" w14:textId="77777777" w:rsidR="00B607F4" w:rsidRDefault="00405F24">
      <w:pPr>
        <w:keepNext/>
        <w:tabs>
          <w:tab w:val="left" w:pos="426"/>
        </w:tabs>
        <w:spacing w:line="360" w:lineRule="atLeast"/>
        <w:ind w:firstLine="720"/>
        <w:jc w:val="both"/>
        <w:rPr>
          <w:caps/>
          <w:color w:val="000000"/>
          <w:szCs w:val="24"/>
          <w:lang w:eastAsia="lt-LT"/>
        </w:rPr>
      </w:pPr>
      <w:r>
        <w:rPr>
          <w:caps/>
          <w:color w:val="000000"/>
          <w:szCs w:val="24"/>
          <w:lang w:eastAsia="lt-LT"/>
        </w:rPr>
        <w:t xml:space="preserve">10.1. </w:t>
      </w:r>
      <w:r>
        <w:rPr>
          <w:color w:val="000000"/>
          <w:szCs w:val="24"/>
          <w:lang w:eastAsia="lt-LT"/>
        </w:rPr>
        <w:t xml:space="preserve">Mokymosi visą gyvenimą memorandume, </w:t>
      </w:r>
      <w:r>
        <w:rPr>
          <w:szCs w:val="24"/>
          <w:lang w:eastAsia="lt-LT"/>
        </w:rPr>
        <w:t>kur</w:t>
      </w:r>
      <w:r>
        <w:rPr>
          <w:rFonts w:eastAsia="TimesNewRoman"/>
          <w:szCs w:val="24"/>
          <w:lang w:eastAsia="lt-LT"/>
        </w:rPr>
        <w:t xml:space="preserve">į </w:t>
      </w:r>
      <w:r>
        <w:rPr>
          <w:szCs w:val="24"/>
          <w:lang w:eastAsia="lt-LT"/>
        </w:rPr>
        <w:t>2000 metais pri</w:t>
      </w:r>
      <w:r>
        <w:rPr>
          <w:rFonts w:eastAsia="TimesNewRoman"/>
          <w:szCs w:val="24"/>
          <w:lang w:eastAsia="lt-LT"/>
        </w:rPr>
        <w:t>ė</w:t>
      </w:r>
      <w:r>
        <w:rPr>
          <w:szCs w:val="24"/>
          <w:lang w:eastAsia="lt-LT"/>
        </w:rPr>
        <w:t>m</w:t>
      </w:r>
      <w:r>
        <w:rPr>
          <w:rFonts w:eastAsia="TimesNewRoman"/>
          <w:szCs w:val="24"/>
          <w:lang w:eastAsia="lt-LT"/>
        </w:rPr>
        <w:t xml:space="preserve">ė </w:t>
      </w:r>
      <w:r>
        <w:rPr>
          <w:szCs w:val="24"/>
          <w:lang w:eastAsia="lt-LT"/>
        </w:rPr>
        <w:t>Europos Komisija,</w:t>
      </w:r>
      <w:r>
        <w:rPr>
          <w:color w:val="000000"/>
          <w:szCs w:val="24"/>
          <w:lang w:eastAsia="lt-LT"/>
        </w:rPr>
        <w:t xml:space="preserve"> apibrėžtos mokymąsi visą gyvenimą skatinančios priežastys – žiniomis grindžiamos visuomenės ir šalies ūkio poreikiai, galimybė orientuotis ir gyventi vis sudėtingesniame socialiniame, kultūriniame, politiniame pasaulyje.</w:t>
      </w:r>
    </w:p>
    <w:p w14:paraId="5FCF92F3" w14:textId="77777777" w:rsidR="00B607F4" w:rsidRDefault="00405F24">
      <w:pPr>
        <w:spacing w:line="360" w:lineRule="atLeast"/>
        <w:ind w:firstLine="720"/>
        <w:jc w:val="both"/>
        <w:rPr>
          <w:color w:val="000000"/>
          <w:szCs w:val="24"/>
          <w:lang w:eastAsia="lt-LT"/>
        </w:rPr>
      </w:pPr>
      <w:r>
        <w:rPr>
          <w:color w:val="000000"/>
          <w:szCs w:val="24"/>
          <w:lang w:eastAsia="lt-LT"/>
        </w:rPr>
        <w:t xml:space="preserve">10.2. Darbo jėgos kvalifikacijos problemos mastą šiuo metu iš dalies rodo ir tai, kad darbo našumas Lietuvoje – vienas žemiausių ES </w:t>
      </w:r>
      <w:r>
        <w:rPr>
          <w:color w:val="000000"/>
          <w:szCs w:val="24"/>
          <w:lang w:eastAsia="lt-LT"/>
        </w:rPr>
        <w:lastRenderedPageBreak/>
        <w:t>(maždaug 50 procentų ES vidurkio), o kai kuriose pramonės srityse darbo našumas skiriasi iki 10 kartų. Švietimas pernelyg teorinis, suaugusieji nesigaudo, ko ir kur mokytis, jiems trūksta sąmoningo ir pagrįsto pasirinkimo, įgūdžių ir informacijos, gausesnės praktinės patirties, todėl būtina sudaryti tinkamas sąlygas plėtoti tęstinį mokymąsi, geresnes galimybes bedarbiams grįžti į darbo rinką – tai viena iš veiksmingiausių nedarbo mažinimo priemonių.</w:t>
      </w:r>
    </w:p>
    <w:p w14:paraId="5FCF92F4" w14:textId="77777777" w:rsidR="00B607F4" w:rsidRDefault="00405F24">
      <w:pPr>
        <w:keepNext/>
        <w:tabs>
          <w:tab w:val="left" w:pos="426"/>
        </w:tabs>
        <w:spacing w:line="360" w:lineRule="atLeast"/>
        <w:ind w:firstLine="720"/>
        <w:jc w:val="both"/>
        <w:rPr>
          <w:caps/>
          <w:color w:val="000000"/>
          <w:szCs w:val="24"/>
          <w:lang w:eastAsia="lt-LT"/>
        </w:rPr>
      </w:pPr>
      <w:r>
        <w:rPr>
          <w:caps/>
          <w:color w:val="000000"/>
          <w:szCs w:val="24"/>
          <w:lang w:eastAsia="lt-LT"/>
        </w:rPr>
        <w:t>10.3</w:t>
      </w:r>
      <w:r>
        <w:rPr>
          <w:color w:val="000000"/>
          <w:szCs w:val="24"/>
          <w:lang w:eastAsia="lt-LT"/>
        </w:rPr>
        <w:t>. Žmogus turi įgimtą teisę ugdyti savo asmenybę visą gyvenimą ir tai yra itin svarbu jam pačiam, visuomenei ir valstybei. Taip užtikrinamas žmogaus ekonominis saugumas, jo gyvenimo kokybė ir visuomenės branda, šalies ūkio konkurencingumas, galiausiai – politinis stabilumas.</w:t>
      </w:r>
    </w:p>
    <w:p w14:paraId="5FCF92F5" w14:textId="77777777" w:rsidR="00B607F4" w:rsidRDefault="00405F24">
      <w:pPr>
        <w:spacing w:line="360" w:lineRule="atLeast"/>
        <w:ind w:firstLine="720"/>
        <w:jc w:val="both"/>
        <w:rPr>
          <w:color w:val="000000"/>
          <w:szCs w:val="24"/>
          <w:lang w:eastAsia="lt-LT"/>
        </w:rPr>
      </w:pPr>
      <w:r>
        <w:rPr>
          <w:color w:val="000000"/>
          <w:szCs w:val="24"/>
          <w:lang w:eastAsia="lt-LT"/>
        </w:rPr>
        <w:t>10.4. Siekiant didinti profesinio ir suaugusiųjų mokymo atitiktį darbo rinkos poreikiams, sudaryti sąlygas mokytis visą gyvenimą ir numatyti šios veiklos paskatas, teikiama ES struktūrinių fondų parama Lietuvos kvalifikacijų sandarai formuoti, įgytų kompetencijų ir kvalifikacijų vertinimo ir pripažinimo sistemai tobulinti, profesinio mokymo ir suaugusiųjų švietimo pedagogų kvalifikacijai tobulinti, švietimo valdymo sistemos procesams tobulinti, mokymosi visą gyvenimą koordinavimui gerinti, kokybiškoms karjeros paslaugoms teikti realioje ir virtualioje aplinkoje. Remiamos paskatos ir sąlygos įvertinti, pripažinti mažiau besimokančių suaugusiųjų grupių turimas kompetencijas, šiems asmenims įsitraukti į bendrojo ugdymo, profesinio mokymo ir studijų programas, o dalyvaujantiesiems formaliojo švietimo programose įgyti praktinių įgūdžių. Taip pat siekiama įvertinti ir pripažinti viešųjų paslaugų darbuotojų kompetencijas ir kvalifikacijas.</w:t>
      </w:r>
    </w:p>
    <w:p w14:paraId="5FCF92F6" w14:textId="77777777" w:rsidR="00B607F4" w:rsidRDefault="00405F24">
      <w:pPr>
        <w:tabs>
          <w:tab w:val="left" w:pos="426"/>
        </w:tabs>
        <w:spacing w:line="360" w:lineRule="atLeast"/>
        <w:ind w:firstLine="720"/>
        <w:jc w:val="both"/>
        <w:rPr>
          <w:color w:val="000000"/>
          <w:szCs w:val="24"/>
          <w:lang w:eastAsia="lt-LT"/>
        </w:rPr>
      </w:pPr>
      <w:r>
        <w:rPr>
          <w:color w:val="000000"/>
          <w:szCs w:val="24"/>
          <w:lang w:eastAsia="lt-LT"/>
        </w:rPr>
        <w:t xml:space="preserve">10.5. Sėkmingai suaugusiųjų darbinei ir socialinei veiklai ir integracijai reikia ne tik tinkamos profesinės, bet ir pakankamai išlavintos bendrosios kompetencijos. 2006 m. gruodžio 18 d. Europos Parlamento ir Tarybos rekomendacijoje dėl bendrųjų visą gyvenimą trunkančio mokymosi gebėjimų (OL 2006, L 394, p. 10–18) nustatytos 8 bendrosios mokymosi visą gyvenimą kompetencijos, užtikrinančios kiekvieno žmogaus asmeninį tobulėjimą, aktyvumą, socialinę integraciją ir užimtumą. Svarbiausias šių kompetencijų ugdymo (-si) pagrindas – kalbos, </w:t>
      </w:r>
      <w:r>
        <w:rPr>
          <w:color w:val="000000"/>
          <w:szCs w:val="24"/>
          <w:lang w:eastAsia="lt-LT"/>
        </w:rPr>
        <w:lastRenderedPageBreak/>
        <w:t>raštingumo, mokėjimo skaičiuoti ir informacinių komunikacijos technologijų įgūdžiai, o visos ugdymo (-si) veiklos grindžiamos mokėjimu mokytis. Visos šios kompetencijos laikomos vienodai svarbiomis, daugelis jų tarpusavyje susijusios ir papildo viena kitą – vienai sričiai būdingi aspektai stiprina kitos srities gebėjimus.</w:t>
      </w:r>
    </w:p>
    <w:p w14:paraId="5FCF92F7" w14:textId="77777777" w:rsidR="00B607F4" w:rsidRDefault="00405F24">
      <w:pPr>
        <w:tabs>
          <w:tab w:val="left" w:pos="1134"/>
        </w:tabs>
        <w:spacing w:line="360" w:lineRule="atLeast"/>
        <w:ind w:firstLine="720"/>
        <w:jc w:val="both"/>
        <w:rPr>
          <w:color w:val="000000"/>
          <w:szCs w:val="24"/>
          <w:lang w:eastAsia="lt-LT"/>
        </w:rPr>
      </w:pPr>
      <w:r>
        <w:rPr>
          <w:color w:val="000000"/>
          <w:szCs w:val="24"/>
          <w:lang w:eastAsia="lt-LT"/>
        </w:rPr>
        <w:t xml:space="preserve">10.6. Lietuvos Respublikos Vyriausybės 2012–2016 metų programoje, kuriai pritarta </w:t>
      </w:r>
      <w:r>
        <w:rPr>
          <w:szCs w:val="24"/>
          <w:lang w:eastAsia="lt-LT"/>
        </w:rPr>
        <w:t xml:space="preserve">Lietuvos Respublikos Seimo 2012 m. gruodžio 13 d. nutarimu Nr. XII-51 „Dėl Lietuvos Respublikos Vyriausybės programos“, </w:t>
      </w:r>
      <w:r>
        <w:rPr>
          <w:color w:val="000000"/>
          <w:szCs w:val="24"/>
          <w:lang w:eastAsia="lt-LT"/>
        </w:rPr>
        <w:t>nustatyta, kad švietimo ir mokslo politika iš esmės pakeis pastaraisiais metais įgyvendinamos politikos nuostatas. Numatoma kurti lanksčią ir atvirą, kokybišką ir kiekvienam prieinamą švietimo sistemą, kuri atitiktų atviros pilietinės visuomenės asmens ir šalies ūkio poreikius ir sudarytų galimybę mokytis ir tobulėti visą gyvenimą.</w:t>
      </w:r>
    </w:p>
    <w:p w14:paraId="5FCF92F8" w14:textId="77777777" w:rsidR="00B607F4" w:rsidRDefault="00405F24">
      <w:pPr>
        <w:tabs>
          <w:tab w:val="left" w:pos="1134"/>
        </w:tabs>
        <w:spacing w:line="360" w:lineRule="atLeast"/>
        <w:ind w:firstLine="720"/>
        <w:jc w:val="both"/>
        <w:rPr>
          <w:color w:val="000000"/>
          <w:szCs w:val="24"/>
          <w:lang w:eastAsia="en-GB"/>
        </w:rPr>
      </w:pPr>
      <w:r>
        <w:rPr>
          <w:color w:val="000000"/>
          <w:szCs w:val="24"/>
          <w:lang w:eastAsia="lt-LT"/>
        </w:rPr>
        <w:t xml:space="preserve">10.7. </w:t>
      </w:r>
      <w:r>
        <w:rPr>
          <w:szCs w:val="24"/>
          <w:lang w:eastAsia="lt-LT"/>
        </w:rPr>
        <w:t>Mokymosi pagal n</w:t>
      </w:r>
      <w:r>
        <w:rPr>
          <w:bCs/>
          <w:szCs w:val="24"/>
          <w:lang w:eastAsia="lt-LT"/>
        </w:rPr>
        <w:t xml:space="preserve">eformaliojo suaugusiųjų švietimo ir tęstinio mokymosi programas finansavimo metodikoje, patvirtintoje Lietuvos Respublikos Vyriausybės </w:t>
      </w:r>
      <w:r>
        <w:rPr>
          <w:szCs w:val="24"/>
          <w:lang w:eastAsia="lt-LT"/>
        </w:rPr>
        <w:t>2016 m. sausio 14 d.</w:t>
      </w:r>
      <w:r>
        <w:rPr>
          <w:color w:val="000000"/>
          <w:szCs w:val="24"/>
          <w:lang w:eastAsia="ar-SA"/>
        </w:rPr>
        <w:t xml:space="preserve"> nutarimu Nr. </w:t>
      </w:r>
      <w:r>
        <w:rPr>
          <w:szCs w:val="24"/>
          <w:lang w:eastAsia="lt-LT"/>
        </w:rPr>
        <w:t>22 „Dėl Mokymosi pagal neformaliojo suaugusiųjų švietimo ir tęstinio mokymosi programas finansavimo metodikos patvirtinimo“, nustatyta, kad neformaliojo suaugusiųjų švietimo ir tęstinio mokymosi programų turinys ir siekiami rezultatai turi atitikti darbo rinkai aktualių bendrųjų kompetencijų ugdymą, andragoginių kompetencijų tobulinimą, profesinei veiklai reikalingų žinių ir gebėjimų įgijimą ir kita.</w:t>
      </w:r>
    </w:p>
    <w:p w14:paraId="5FCF92F9" w14:textId="77777777" w:rsidR="00B607F4" w:rsidRDefault="00405F24">
      <w:pPr>
        <w:spacing w:line="360" w:lineRule="atLeast"/>
        <w:ind w:firstLine="720"/>
        <w:jc w:val="both"/>
        <w:rPr>
          <w:color w:val="000000"/>
          <w:szCs w:val="24"/>
          <w:lang w:eastAsia="lt-LT"/>
        </w:rPr>
      </w:pPr>
      <w:r>
        <w:rPr>
          <w:color w:val="000000"/>
          <w:szCs w:val="24"/>
          <w:lang w:eastAsia="lt-LT"/>
        </w:rPr>
        <w:t>11. Veiklos kryptys (uždaviniai) antrajam Programos tikslui pasiekti:</w:t>
      </w:r>
    </w:p>
    <w:p w14:paraId="5FCF92FA" w14:textId="77777777" w:rsidR="00B607F4" w:rsidRDefault="00405F24">
      <w:pPr>
        <w:tabs>
          <w:tab w:val="left" w:pos="1134"/>
        </w:tabs>
        <w:spacing w:line="360" w:lineRule="atLeast"/>
        <w:ind w:firstLine="720"/>
        <w:jc w:val="both"/>
        <w:rPr>
          <w:i/>
          <w:color w:val="000000"/>
          <w:szCs w:val="24"/>
          <w:lang w:eastAsia="lt-LT"/>
        </w:rPr>
      </w:pPr>
      <w:r>
        <w:rPr>
          <w:color w:val="000000"/>
          <w:szCs w:val="24"/>
          <w:lang w:eastAsia="lt-LT"/>
        </w:rPr>
        <w:t>11.1. Skatinti mokymosi visą gyvenimą įvairovę pagal šalies ūkio ir visuomenės poreikį, plėtoti veiklos tęstinumo pajėgumus ir kurti lanksčią prieinamumo sistemą, užtikrinti mokymo kokybę, stiprinti kultūros įstaigų, verslo galimybes dalyvauti</w:t>
      </w:r>
      <w:r>
        <w:rPr>
          <w:szCs w:val="24"/>
          <w:lang w:eastAsia="lt-LT"/>
        </w:rPr>
        <w:t xml:space="preserve"> atliekant tarptautinį suaugusiųjų kompetencijų tyrimą PIAAC (</w:t>
      </w:r>
      <w:r>
        <w:rPr>
          <w:i/>
          <w:szCs w:val="24"/>
          <w:lang w:eastAsia="lt-LT"/>
        </w:rPr>
        <w:t xml:space="preserve">Programme for the International Assessment of Adult Competencies), </w:t>
      </w:r>
      <w:r>
        <w:rPr>
          <w:szCs w:val="24"/>
          <w:lang w:eastAsia="lt-LT"/>
        </w:rPr>
        <w:t>kuris organizuojamas Ekonominio ir socialinio bendradarbiavimo ir vystymosi organizacijos</w:t>
      </w:r>
      <w:r>
        <w:rPr>
          <w:i/>
          <w:szCs w:val="24"/>
          <w:lang w:eastAsia="lt-LT"/>
        </w:rPr>
        <w:t xml:space="preserve"> OECD (Organisation for Economic and Social Cooperation and Development</w:t>
      </w:r>
      <w:r>
        <w:rPr>
          <w:szCs w:val="24"/>
          <w:lang w:eastAsia="lt-LT"/>
        </w:rPr>
        <w:t>)</w:t>
      </w:r>
      <w:r>
        <w:rPr>
          <w:color w:val="000000"/>
          <w:szCs w:val="24"/>
          <w:lang w:eastAsia="lt-LT"/>
        </w:rPr>
        <w:t>.</w:t>
      </w:r>
    </w:p>
    <w:p w14:paraId="5FCF92FB" w14:textId="77777777" w:rsidR="00B607F4" w:rsidRDefault="00405F24">
      <w:pPr>
        <w:tabs>
          <w:tab w:val="left" w:pos="1134"/>
        </w:tabs>
        <w:spacing w:line="360" w:lineRule="atLeast"/>
        <w:ind w:firstLine="720"/>
        <w:jc w:val="both"/>
        <w:rPr>
          <w:color w:val="000000"/>
          <w:szCs w:val="24"/>
          <w:lang w:eastAsia="lt-LT"/>
        </w:rPr>
      </w:pPr>
      <w:r>
        <w:rPr>
          <w:color w:val="000000"/>
          <w:szCs w:val="24"/>
          <w:lang w:eastAsia="lt-LT"/>
        </w:rPr>
        <w:t xml:space="preserve">11.2. Stiprinti motyvaciją mokytis – sieti mokymąsi visą gyvenimą su besimokančiųjų pasirinkimais, sukurti finansinės paramos sistemą. Plėtoti mokymosi visą gyvenimą ir darbo patirties integralumą, </w:t>
      </w:r>
      <w:r>
        <w:rPr>
          <w:color w:val="000000"/>
          <w:szCs w:val="24"/>
          <w:lang w:eastAsia="lt-LT"/>
        </w:rPr>
        <w:lastRenderedPageBreak/>
        <w:t>ypač per praktiką, stažuotes, profesinį mokymą, diegti pameistrystę. Sukurti ir pradėti taikyti įvairiais mokymosi būdais įgytų kompetencijų vertinimo ir pripažinimo sistemą.</w:t>
      </w:r>
    </w:p>
    <w:p w14:paraId="5FCF92FC" w14:textId="77777777" w:rsidR="00B607F4" w:rsidRDefault="00405F24">
      <w:pPr>
        <w:tabs>
          <w:tab w:val="left" w:pos="1134"/>
        </w:tabs>
        <w:spacing w:line="360" w:lineRule="atLeast"/>
        <w:ind w:firstLine="720"/>
        <w:jc w:val="both"/>
        <w:rPr>
          <w:color w:val="000000"/>
          <w:szCs w:val="24"/>
          <w:lang w:eastAsia="lt-LT"/>
        </w:rPr>
      </w:pPr>
      <w:r>
        <w:rPr>
          <w:color w:val="000000"/>
          <w:szCs w:val="24"/>
          <w:lang w:eastAsia="lt-LT"/>
        </w:rPr>
        <w:t>11.3. Sudaryti sąlygas asmenims savarankiškai valdyti karjerą – teikti individualizuotą įvairių formų pagalbą, organizuoti socialinę reklamą realioje ir virtualioje aplinkoje, įskaitant pasiūlos ekspertinius vertinimus ir galimybes. Inicijuoti ir remti kokybišką studijų programų, profesijų populiarinimą, bendrųjų ir tęstinio profesinio mokymo kompetencijų suaugusiesiems paslaugų plėtrą aukštosiose mokyklose, profesinio mokymo įstaigose.</w:t>
      </w:r>
    </w:p>
    <w:p w14:paraId="5FCF92FD" w14:textId="77777777" w:rsidR="00B607F4" w:rsidRDefault="00405F24">
      <w:pPr>
        <w:tabs>
          <w:tab w:val="left" w:pos="1134"/>
        </w:tabs>
        <w:spacing w:line="360" w:lineRule="atLeast"/>
        <w:ind w:firstLine="720"/>
        <w:jc w:val="both"/>
        <w:rPr>
          <w:color w:val="000000"/>
          <w:szCs w:val="24"/>
          <w:lang w:eastAsia="lt-LT"/>
        </w:rPr>
      </w:pPr>
      <w:r>
        <w:rPr>
          <w:color w:val="000000"/>
          <w:szCs w:val="24"/>
          <w:lang w:eastAsia="lt-LT"/>
        </w:rPr>
        <w:t>11.4. Tobulinti andragoginių kompetencijų ir pedagoginių psichologinių žinių įgijimą, įgyvendinant neformaliojo suaugusiųjų švietimo programas.</w:t>
      </w:r>
    </w:p>
    <w:p w14:paraId="5FCF92FE" w14:textId="77777777" w:rsidR="00B607F4" w:rsidRDefault="00405F24">
      <w:pPr>
        <w:spacing w:line="360" w:lineRule="atLeast"/>
        <w:ind w:firstLine="720"/>
        <w:jc w:val="both"/>
        <w:rPr>
          <w:color w:val="000000"/>
          <w:szCs w:val="24"/>
          <w:lang w:eastAsia="lt-LT"/>
        </w:rPr>
      </w:pPr>
      <w:r>
        <w:rPr>
          <w:color w:val="000000"/>
          <w:szCs w:val="24"/>
          <w:lang w:eastAsia="lt-LT"/>
        </w:rPr>
        <w:t xml:space="preserve">12. Programos tikslus ir uždavinius paaiškinanti ir pagrindžianti informacija (naudojami atliktos aplinkos analizės rezultatai) leidžia nustatyti esmines </w:t>
      </w:r>
      <w:r>
        <w:rPr>
          <w:szCs w:val="24"/>
          <w:lang w:eastAsia="lt-LT"/>
        </w:rPr>
        <w:t>stiprybes, silpnybes, galimybes ir grėsmes. A</w:t>
      </w:r>
      <w:r>
        <w:rPr>
          <w:color w:val="000000"/>
          <w:szCs w:val="24"/>
          <w:lang w:eastAsia="lt-LT"/>
        </w:rPr>
        <w:t xml:space="preserve">pibendrinus šias aplinkybes nustatyti esminiai Programos siekiniai pateikti stiprybių, silpnybių, galimybių, grėsmių (SSGG) analizės išvadų lentelėje. </w:t>
      </w:r>
    </w:p>
    <w:p w14:paraId="5FCF92FF" w14:textId="77777777" w:rsidR="00B607F4" w:rsidRDefault="00B607F4">
      <w:pPr>
        <w:ind w:firstLine="1296"/>
        <w:jc w:val="both"/>
        <w:rPr>
          <w:color w:val="000000"/>
          <w:szCs w:val="24"/>
          <w:lang w:eastAsia="lt-LT"/>
        </w:rPr>
      </w:pPr>
    </w:p>
    <w:p w14:paraId="5FCF9300" w14:textId="77777777" w:rsidR="00B607F4" w:rsidRDefault="00405F24">
      <w:pPr>
        <w:jc w:val="center"/>
        <w:rPr>
          <w:szCs w:val="24"/>
          <w:lang w:eastAsia="lt-LT"/>
        </w:rPr>
      </w:pPr>
      <w:r>
        <w:rPr>
          <w:szCs w:val="24"/>
          <w:lang w:eastAsia="lt-LT"/>
        </w:rPr>
        <w:t>Stiprybių, silpnybių, galimybių, grėsmių (SSGG) analizės išvados</w:t>
      </w:r>
    </w:p>
    <w:p w14:paraId="5FCF9301" w14:textId="77777777" w:rsidR="00B607F4" w:rsidRDefault="00B607F4">
      <w:pPr>
        <w:jc w:val="center"/>
        <w:rPr>
          <w:szCs w:val="24"/>
          <w:lang w:eastAsia="lt-LT"/>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0" w:type="dxa"/>
        </w:tblCellMar>
        <w:tblLook w:val="01E0" w:firstRow="1" w:lastRow="1" w:firstColumn="1" w:lastColumn="1" w:noHBand="0" w:noVBand="0"/>
      </w:tblPr>
      <w:tblGrid>
        <w:gridCol w:w="2516"/>
        <w:gridCol w:w="5492"/>
        <w:gridCol w:w="1277"/>
      </w:tblGrid>
      <w:tr w:rsidR="00B607F4" w14:paraId="5FCF9305" w14:textId="77777777">
        <w:trPr>
          <w:trHeight w:val="23"/>
          <w:tblHeader/>
          <w:jc w:val="center"/>
        </w:trPr>
        <w:tc>
          <w:tcPr>
            <w:tcW w:w="2514"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CF9302" w14:textId="77777777" w:rsidR="00B607F4" w:rsidRDefault="00405F24">
            <w:pPr>
              <w:spacing w:line="276" w:lineRule="auto"/>
              <w:jc w:val="center"/>
              <w:rPr>
                <w:sz w:val="22"/>
                <w:szCs w:val="22"/>
              </w:rPr>
            </w:pPr>
            <w:r>
              <w:rPr>
                <w:bCs/>
                <w:color w:val="000000"/>
                <w:sz w:val="22"/>
                <w:szCs w:val="22"/>
              </w:rPr>
              <w:t>Išvados dėl esminių pokyčių</w:t>
            </w:r>
          </w:p>
        </w:tc>
        <w:tc>
          <w:tcPr>
            <w:tcW w:w="548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CF9303" w14:textId="77777777" w:rsidR="00B607F4" w:rsidRDefault="00405F24">
            <w:pPr>
              <w:spacing w:line="276" w:lineRule="auto"/>
              <w:jc w:val="center"/>
              <w:rPr>
                <w:sz w:val="22"/>
                <w:szCs w:val="22"/>
              </w:rPr>
            </w:pPr>
            <w:r>
              <w:rPr>
                <w:bCs/>
                <w:color w:val="000000"/>
                <w:sz w:val="22"/>
                <w:szCs w:val="22"/>
              </w:rPr>
              <w:t>Argumentai (problemos, iššūkiai, rodikliai, veiksniai)</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CF9304" w14:textId="77777777" w:rsidR="00B607F4" w:rsidRDefault="00405F24">
            <w:pPr>
              <w:spacing w:line="276" w:lineRule="auto"/>
              <w:jc w:val="center"/>
              <w:rPr>
                <w:sz w:val="22"/>
                <w:szCs w:val="22"/>
              </w:rPr>
            </w:pPr>
            <w:r>
              <w:rPr>
                <w:sz w:val="22"/>
                <w:szCs w:val="22"/>
              </w:rPr>
              <w:t>SSGG</w:t>
            </w:r>
          </w:p>
        </w:tc>
      </w:tr>
      <w:tr w:rsidR="00B607F4" w14:paraId="5FCF9308" w14:textId="77777777">
        <w:trPr>
          <w:trHeight w:val="23"/>
          <w:jc w:val="center"/>
        </w:trPr>
        <w:tc>
          <w:tcPr>
            <w:tcW w:w="8002"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FCF9306" w14:textId="77777777" w:rsidR="00B607F4" w:rsidRDefault="00405F24">
            <w:pPr>
              <w:spacing w:line="276" w:lineRule="auto"/>
              <w:ind w:right="113"/>
              <w:jc w:val="center"/>
              <w:rPr>
                <w:bCs/>
                <w:color w:val="000000"/>
                <w:sz w:val="22"/>
                <w:szCs w:val="22"/>
              </w:rPr>
            </w:pPr>
            <w:r>
              <w:rPr>
                <w:sz w:val="22"/>
                <w:szCs w:val="22"/>
              </w:rPr>
              <w:t>1. Sukurti ir išplėtoti darnią suaugusiųjų švietimo sistemą</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5FCF9307" w14:textId="77777777" w:rsidR="00B607F4" w:rsidRDefault="00B607F4">
            <w:pPr>
              <w:spacing w:line="276" w:lineRule="auto"/>
              <w:jc w:val="center"/>
              <w:rPr>
                <w:sz w:val="22"/>
                <w:szCs w:val="22"/>
              </w:rPr>
            </w:pPr>
          </w:p>
        </w:tc>
      </w:tr>
      <w:tr w:rsidR="00B607F4" w14:paraId="5FCF930C" w14:textId="77777777">
        <w:trPr>
          <w:trHeight w:val="23"/>
          <w:jc w:val="center"/>
        </w:trPr>
        <w:tc>
          <w:tcPr>
            <w:tcW w:w="2514" w:type="dxa"/>
            <w:vMerge w:val="restart"/>
            <w:tcBorders>
              <w:top w:val="single" w:sz="4" w:space="0" w:color="auto"/>
              <w:left w:val="single" w:sz="4" w:space="0" w:color="auto"/>
              <w:bottom w:val="single" w:sz="4" w:space="0" w:color="auto"/>
              <w:right w:val="single" w:sz="4" w:space="0" w:color="auto"/>
            </w:tcBorders>
            <w:vAlign w:val="center"/>
            <w:hideMark/>
          </w:tcPr>
          <w:p w14:paraId="5FCF9309" w14:textId="77777777" w:rsidR="00B607F4" w:rsidRDefault="00405F24">
            <w:pPr>
              <w:spacing w:line="276" w:lineRule="auto"/>
              <w:ind w:right="113"/>
              <w:contextualSpacing/>
              <w:rPr>
                <w:color w:val="000000"/>
                <w:sz w:val="22"/>
                <w:szCs w:val="22"/>
              </w:rPr>
            </w:pPr>
            <w:r>
              <w:rPr>
                <w:color w:val="000000"/>
                <w:sz w:val="22"/>
                <w:szCs w:val="22"/>
              </w:rPr>
              <w:t xml:space="preserve">1.1. Sukurti finansinių, teisinių, organizacinių paskatų sistemą, leisiančią formuoti glaudesnį švietimo teikėjų tinklą, apimančią neformaliojo suaugusiųjų švietimo finansavimo mechanizmą, tarpinstitucinį koordinavimą, informavimą ir konsultavimą, numatyti priemones švietimo </w:t>
            </w:r>
            <w:r>
              <w:rPr>
                <w:color w:val="000000"/>
                <w:sz w:val="22"/>
                <w:szCs w:val="22"/>
              </w:rPr>
              <w:lastRenderedPageBreak/>
              <w:t>pasiūlos įvairovei ir kokybei užtikrinti</w:t>
            </w:r>
          </w:p>
        </w:tc>
        <w:tc>
          <w:tcPr>
            <w:tcW w:w="5488" w:type="dxa"/>
            <w:tcBorders>
              <w:top w:val="single" w:sz="4" w:space="0" w:color="auto"/>
              <w:left w:val="single" w:sz="4" w:space="0" w:color="auto"/>
              <w:bottom w:val="single" w:sz="4" w:space="0" w:color="auto"/>
              <w:right w:val="single" w:sz="4" w:space="0" w:color="auto"/>
            </w:tcBorders>
            <w:hideMark/>
          </w:tcPr>
          <w:p w14:paraId="5FCF930A" w14:textId="77777777" w:rsidR="00B607F4" w:rsidRDefault="00405F24">
            <w:pPr>
              <w:spacing w:line="276" w:lineRule="auto"/>
              <w:ind w:right="113"/>
              <w:rPr>
                <w:color w:val="000000"/>
                <w:sz w:val="22"/>
                <w:szCs w:val="22"/>
              </w:rPr>
            </w:pPr>
            <w:r>
              <w:rPr>
                <w:color w:val="000000"/>
                <w:sz w:val="22"/>
                <w:szCs w:val="22"/>
              </w:rPr>
              <w:lastRenderedPageBreak/>
              <w:t>Lietuvos aukštosiose mokyklose veikia tęstinių studijų padaliniai</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CF930B" w14:textId="77777777" w:rsidR="00B607F4" w:rsidRDefault="00405F24">
            <w:pPr>
              <w:spacing w:line="276" w:lineRule="auto"/>
              <w:jc w:val="center"/>
              <w:rPr>
                <w:color w:val="000000"/>
                <w:sz w:val="22"/>
                <w:szCs w:val="22"/>
              </w:rPr>
            </w:pPr>
            <w:r>
              <w:rPr>
                <w:color w:val="000000"/>
                <w:sz w:val="22"/>
                <w:szCs w:val="22"/>
              </w:rPr>
              <w:t>stiprybė</w:t>
            </w:r>
          </w:p>
        </w:tc>
      </w:tr>
      <w:tr w:rsidR="00B607F4" w14:paraId="5FCF9310" w14:textId="77777777">
        <w:trPr>
          <w:trHeight w:val="23"/>
          <w:jc w:val="center"/>
        </w:trPr>
        <w:tc>
          <w:tcPr>
            <w:tcW w:w="8002" w:type="dxa"/>
            <w:vMerge/>
            <w:tcBorders>
              <w:top w:val="single" w:sz="4" w:space="0" w:color="auto"/>
              <w:left w:val="single" w:sz="4" w:space="0" w:color="auto"/>
              <w:bottom w:val="single" w:sz="4" w:space="0" w:color="auto"/>
              <w:right w:val="single" w:sz="4" w:space="0" w:color="auto"/>
            </w:tcBorders>
            <w:vAlign w:val="center"/>
            <w:hideMark/>
          </w:tcPr>
          <w:p w14:paraId="5FCF930D" w14:textId="77777777" w:rsidR="00B607F4" w:rsidRDefault="00B607F4">
            <w:pPr>
              <w:rPr>
                <w:color w:val="000000"/>
                <w:sz w:val="22"/>
                <w:szCs w:val="22"/>
              </w:rPr>
            </w:pPr>
          </w:p>
        </w:tc>
        <w:tc>
          <w:tcPr>
            <w:tcW w:w="5488" w:type="dxa"/>
            <w:tcBorders>
              <w:top w:val="single" w:sz="4" w:space="0" w:color="auto"/>
              <w:left w:val="single" w:sz="4" w:space="0" w:color="auto"/>
              <w:bottom w:val="single" w:sz="4" w:space="0" w:color="auto"/>
              <w:right w:val="single" w:sz="4" w:space="0" w:color="auto"/>
            </w:tcBorders>
            <w:hideMark/>
          </w:tcPr>
          <w:p w14:paraId="5FCF930E" w14:textId="77777777" w:rsidR="00B607F4" w:rsidRDefault="00405F24">
            <w:pPr>
              <w:spacing w:line="276" w:lineRule="auto"/>
              <w:ind w:right="113"/>
              <w:contextualSpacing/>
              <w:rPr>
                <w:bCs/>
                <w:color w:val="000000"/>
                <w:kern w:val="36"/>
                <w:sz w:val="22"/>
                <w:szCs w:val="22"/>
              </w:rPr>
            </w:pPr>
            <w:r>
              <w:rPr>
                <w:color w:val="000000"/>
                <w:sz w:val="22"/>
                <w:szCs w:val="22"/>
              </w:rPr>
              <w:t>demografiniai pokyčiai</w:t>
            </w:r>
            <w:r>
              <w:rPr>
                <w:bCs/>
                <w:color w:val="000000"/>
                <w:sz w:val="22"/>
                <w:szCs w:val="22"/>
              </w:rPr>
              <w:t>, tokie kaip gyventojų senėjimas, mažina švietimo paslaugų poreikį</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CF930F" w14:textId="77777777" w:rsidR="00B607F4" w:rsidRDefault="00405F24">
            <w:pPr>
              <w:spacing w:line="276" w:lineRule="auto"/>
              <w:jc w:val="center"/>
              <w:rPr>
                <w:color w:val="000000"/>
                <w:sz w:val="22"/>
                <w:szCs w:val="22"/>
              </w:rPr>
            </w:pPr>
            <w:r>
              <w:rPr>
                <w:color w:val="000000"/>
                <w:sz w:val="22"/>
                <w:szCs w:val="22"/>
              </w:rPr>
              <w:t>grėsmė</w:t>
            </w:r>
          </w:p>
        </w:tc>
      </w:tr>
      <w:tr w:rsidR="00B607F4" w14:paraId="5FCF9314" w14:textId="77777777">
        <w:trPr>
          <w:trHeight w:val="23"/>
          <w:jc w:val="center"/>
        </w:trPr>
        <w:tc>
          <w:tcPr>
            <w:tcW w:w="8002" w:type="dxa"/>
            <w:vMerge/>
            <w:tcBorders>
              <w:top w:val="single" w:sz="4" w:space="0" w:color="auto"/>
              <w:left w:val="single" w:sz="4" w:space="0" w:color="auto"/>
              <w:bottom w:val="single" w:sz="4" w:space="0" w:color="auto"/>
              <w:right w:val="single" w:sz="4" w:space="0" w:color="auto"/>
            </w:tcBorders>
            <w:vAlign w:val="center"/>
            <w:hideMark/>
          </w:tcPr>
          <w:p w14:paraId="5FCF9311" w14:textId="77777777" w:rsidR="00B607F4" w:rsidRDefault="00B607F4">
            <w:pPr>
              <w:rPr>
                <w:color w:val="000000"/>
                <w:sz w:val="22"/>
                <w:szCs w:val="22"/>
              </w:rPr>
            </w:pPr>
          </w:p>
        </w:tc>
        <w:tc>
          <w:tcPr>
            <w:tcW w:w="5488" w:type="dxa"/>
            <w:tcBorders>
              <w:top w:val="single" w:sz="4" w:space="0" w:color="auto"/>
              <w:left w:val="single" w:sz="4" w:space="0" w:color="auto"/>
              <w:bottom w:val="single" w:sz="4" w:space="0" w:color="auto"/>
              <w:right w:val="single" w:sz="4" w:space="0" w:color="auto"/>
            </w:tcBorders>
            <w:hideMark/>
          </w:tcPr>
          <w:p w14:paraId="5FCF9312" w14:textId="77777777" w:rsidR="00B607F4" w:rsidRDefault="00405F24">
            <w:pPr>
              <w:spacing w:line="276" w:lineRule="auto"/>
              <w:ind w:right="113"/>
              <w:contextualSpacing/>
              <w:rPr>
                <w:bCs/>
                <w:color w:val="000000"/>
                <w:kern w:val="36"/>
                <w:sz w:val="22"/>
                <w:szCs w:val="22"/>
              </w:rPr>
            </w:pPr>
            <w:r>
              <w:rPr>
                <w:color w:val="000000"/>
                <w:sz w:val="22"/>
                <w:szCs w:val="22"/>
              </w:rPr>
              <w:t>aukštųjų mokyklų studijų programos pritaikomos neformaliajam suaugusiųjų švietimui</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CF9313" w14:textId="77777777" w:rsidR="00B607F4" w:rsidRDefault="00405F24">
            <w:pPr>
              <w:spacing w:line="276" w:lineRule="auto"/>
              <w:jc w:val="center"/>
              <w:rPr>
                <w:color w:val="000000"/>
                <w:sz w:val="22"/>
                <w:szCs w:val="22"/>
              </w:rPr>
            </w:pPr>
            <w:r>
              <w:rPr>
                <w:color w:val="000000"/>
                <w:sz w:val="22"/>
                <w:szCs w:val="22"/>
              </w:rPr>
              <w:t>galimybė</w:t>
            </w:r>
          </w:p>
        </w:tc>
      </w:tr>
      <w:tr w:rsidR="00B607F4" w14:paraId="5FCF9318" w14:textId="77777777">
        <w:trPr>
          <w:trHeight w:val="23"/>
          <w:jc w:val="center"/>
        </w:trPr>
        <w:tc>
          <w:tcPr>
            <w:tcW w:w="8002" w:type="dxa"/>
            <w:vMerge/>
            <w:tcBorders>
              <w:top w:val="single" w:sz="4" w:space="0" w:color="auto"/>
              <w:left w:val="single" w:sz="4" w:space="0" w:color="auto"/>
              <w:bottom w:val="single" w:sz="4" w:space="0" w:color="auto"/>
              <w:right w:val="single" w:sz="4" w:space="0" w:color="auto"/>
            </w:tcBorders>
            <w:vAlign w:val="center"/>
            <w:hideMark/>
          </w:tcPr>
          <w:p w14:paraId="5FCF9315" w14:textId="77777777" w:rsidR="00B607F4" w:rsidRDefault="00B607F4">
            <w:pPr>
              <w:rPr>
                <w:color w:val="000000"/>
                <w:sz w:val="22"/>
                <w:szCs w:val="22"/>
              </w:rPr>
            </w:pPr>
          </w:p>
        </w:tc>
        <w:tc>
          <w:tcPr>
            <w:tcW w:w="5488" w:type="dxa"/>
            <w:tcBorders>
              <w:top w:val="single" w:sz="4" w:space="0" w:color="auto"/>
              <w:left w:val="single" w:sz="4" w:space="0" w:color="auto"/>
              <w:bottom w:val="single" w:sz="4" w:space="0" w:color="auto"/>
              <w:right w:val="single" w:sz="4" w:space="0" w:color="auto"/>
            </w:tcBorders>
            <w:hideMark/>
          </w:tcPr>
          <w:p w14:paraId="5FCF9316" w14:textId="77777777" w:rsidR="00B607F4" w:rsidRDefault="00405F24">
            <w:pPr>
              <w:spacing w:line="276" w:lineRule="auto"/>
              <w:ind w:right="113"/>
              <w:rPr>
                <w:color w:val="000000"/>
                <w:sz w:val="22"/>
                <w:szCs w:val="22"/>
              </w:rPr>
            </w:pPr>
            <w:r>
              <w:rPr>
                <w:color w:val="000000"/>
                <w:sz w:val="22"/>
                <w:szCs w:val="22"/>
              </w:rPr>
              <w:t>profesinio mokymo įstaigos nepakankamai orientuotos ir atviros įvairaus amžiaus ir skirtingų poreikių suaugusiesiems</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CF9317" w14:textId="77777777" w:rsidR="00B607F4" w:rsidRDefault="00405F24">
            <w:pPr>
              <w:spacing w:line="276" w:lineRule="auto"/>
              <w:jc w:val="center"/>
              <w:rPr>
                <w:color w:val="000000"/>
                <w:sz w:val="22"/>
                <w:szCs w:val="22"/>
              </w:rPr>
            </w:pPr>
            <w:r>
              <w:rPr>
                <w:color w:val="000000"/>
                <w:sz w:val="22"/>
                <w:szCs w:val="22"/>
              </w:rPr>
              <w:t>silpnybė</w:t>
            </w:r>
          </w:p>
        </w:tc>
      </w:tr>
      <w:tr w:rsidR="00B607F4" w14:paraId="5FCF931C" w14:textId="77777777">
        <w:trPr>
          <w:trHeight w:val="23"/>
          <w:jc w:val="center"/>
        </w:trPr>
        <w:tc>
          <w:tcPr>
            <w:tcW w:w="2514" w:type="dxa"/>
            <w:vMerge w:val="restart"/>
            <w:tcBorders>
              <w:top w:val="single" w:sz="4" w:space="0" w:color="auto"/>
              <w:left w:val="single" w:sz="4" w:space="0" w:color="auto"/>
              <w:bottom w:val="single" w:sz="4" w:space="0" w:color="auto"/>
              <w:right w:val="single" w:sz="4" w:space="0" w:color="auto"/>
            </w:tcBorders>
            <w:hideMark/>
          </w:tcPr>
          <w:p w14:paraId="5FCF9319" w14:textId="77777777" w:rsidR="00B607F4" w:rsidRDefault="00405F24">
            <w:pPr>
              <w:keepNext/>
              <w:keepLines/>
              <w:spacing w:line="276" w:lineRule="auto"/>
              <w:ind w:right="113"/>
              <w:contextualSpacing/>
              <w:rPr>
                <w:color w:val="000000"/>
                <w:sz w:val="22"/>
                <w:szCs w:val="22"/>
              </w:rPr>
            </w:pPr>
            <w:r>
              <w:rPr>
                <w:color w:val="000000"/>
                <w:sz w:val="22"/>
                <w:szCs w:val="22"/>
              </w:rPr>
              <w:lastRenderedPageBreak/>
              <w:t>1.2. Plėtoti mokymosi visą gyvenimą paslaugas, ypač asmenims, gyvenantiems mažuose miesteliuose ir kaimuose, Lietuvos Respublikos Vyriausybės nustatytose teritorijose, kuriose didžiausi socialiniai, ekonominiai netolygumai, ir skirti neformaliojo suaugusiųjų švietimo ir tęstinio mokymosi koordinatorius savivaldybėse</w:t>
            </w:r>
          </w:p>
        </w:tc>
        <w:tc>
          <w:tcPr>
            <w:tcW w:w="5488" w:type="dxa"/>
            <w:tcBorders>
              <w:top w:val="single" w:sz="4" w:space="0" w:color="auto"/>
              <w:left w:val="single" w:sz="4" w:space="0" w:color="auto"/>
              <w:bottom w:val="single" w:sz="4" w:space="0" w:color="auto"/>
              <w:right w:val="single" w:sz="4" w:space="0" w:color="auto"/>
            </w:tcBorders>
            <w:hideMark/>
          </w:tcPr>
          <w:p w14:paraId="5FCF931A" w14:textId="77777777" w:rsidR="00B607F4" w:rsidRDefault="00405F24">
            <w:pPr>
              <w:keepNext/>
              <w:keepLines/>
              <w:spacing w:line="276" w:lineRule="auto"/>
              <w:ind w:right="113"/>
              <w:contextualSpacing/>
              <w:rPr>
                <w:color w:val="000000"/>
                <w:sz w:val="22"/>
                <w:szCs w:val="22"/>
              </w:rPr>
            </w:pPr>
            <w:r>
              <w:rPr>
                <w:color w:val="000000"/>
                <w:sz w:val="22"/>
                <w:szCs w:val="22"/>
              </w:rPr>
              <w:t>suaugusiųjų bendrojo ugdymo programas vykdo savivaldybėse esantys suaugusiųjų mokymo centrai ar bendrojo ugdymo mokyklų struktūriniai padaliniai</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CF931B" w14:textId="77777777" w:rsidR="00B607F4" w:rsidRDefault="00405F24">
            <w:pPr>
              <w:keepNext/>
              <w:keepLines/>
              <w:spacing w:line="276" w:lineRule="auto"/>
              <w:jc w:val="center"/>
              <w:rPr>
                <w:color w:val="000000"/>
                <w:sz w:val="22"/>
                <w:szCs w:val="22"/>
              </w:rPr>
            </w:pPr>
            <w:r>
              <w:rPr>
                <w:color w:val="000000"/>
                <w:sz w:val="22"/>
                <w:szCs w:val="22"/>
              </w:rPr>
              <w:t>stiprybė</w:t>
            </w:r>
          </w:p>
        </w:tc>
      </w:tr>
      <w:tr w:rsidR="00B607F4" w14:paraId="5FCF9320" w14:textId="77777777">
        <w:trPr>
          <w:trHeight w:val="23"/>
          <w:jc w:val="center"/>
        </w:trPr>
        <w:tc>
          <w:tcPr>
            <w:tcW w:w="8002" w:type="dxa"/>
            <w:vMerge/>
            <w:tcBorders>
              <w:top w:val="single" w:sz="4" w:space="0" w:color="auto"/>
              <w:left w:val="single" w:sz="4" w:space="0" w:color="auto"/>
              <w:bottom w:val="single" w:sz="4" w:space="0" w:color="auto"/>
              <w:right w:val="single" w:sz="4" w:space="0" w:color="auto"/>
            </w:tcBorders>
            <w:vAlign w:val="center"/>
            <w:hideMark/>
          </w:tcPr>
          <w:p w14:paraId="5FCF931D" w14:textId="77777777" w:rsidR="00B607F4" w:rsidRDefault="00B607F4">
            <w:pPr>
              <w:rPr>
                <w:color w:val="000000"/>
                <w:sz w:val="22"/>
                <w:szCs w:val="22"/>
              </w:rPr>
            </w:pPr>
          </w:p>
        </w:tc>
        <w:tc>
          <w:tcPr>
            <w:tcW w:w="5488" w:type="dxa"/>
            <w:tcBorders>
              <w:top w:val="single" w:sz="4" w:space="0" w:color="auto"/>
              <w:left w:val="single" w:sz="4" w:space="0" w:color="auto"/>
              <w:bottom w:val="single" w:sz="4" w:space="0" w:color="auto"/>
              <w:right w:val="single" w:sz="4" w:space="0" w:color="auto"/>
            </w:tcBorders>
            <w:hideMark/>
          </w:tcPr>
          <w:p w14:paraId="5FCF931E" w14:textId="77777777" w:rsidR="00B607F4" w:rsidRDefault="00405F24">
            <w:pPr>
              <w:keepNext/>
              <w:keepLines/>
              <w:spacing w:line="276" w:lineRule="auto"/>
              <w:ind w:right="113"/>
              <w:rPr>
                <w:rFonts w:eastAsia="TT20E2o00"/>
                <w:color w:val="000000"/>
                <w:sz w:val="22"/>
                <w:szCs w:val="22"/>
              </w:rPr>
            </w:pPr>
            <w:r>
              <w:rPr>
                <w:rFonts w:eastAsia="TT20E2o00"/>
                <w:color w:val="000000"/>
                <w:sz w:val="22"/>
                <w:szCs w:val="22"/>
              </w:rPr>
              <w:t>kai kuriuose regionuose, ypač kaimuose, suaugusiesiems nesudaromos sąlygos dalyvauti savaiminio, neformaliojo mokymosi procese</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CF931F" w14:textId="77777777" w:rsidR="00B607F4" w:rsidRDefault="00405F24">
            <w:pPr>
              <w:keepNext/>
              <w:keepLines/>
              <w:spacing w:line="276" w:lineRule="auto"/>
              <w:jc w:val="center"/>
              <w:rPr>
                <w:color w:val="000000"/>
                <w:sz w:val="22"/>
                <w:szCs w:val="22"/>
              </w:rPr>
            </w:pPr>
            <w:r>
              <w:rPr>
                <w:color w:val="000000"/>
                <w:sz w:val="22"/>
                <w:szCs w:val="22"/>
              </w:rPr>
              <w:t>silpnybė</w:t>
            </w:r>
          </w:p>
        </w:tc>
      </w:tr>
      <w:tr w:rsidR="00B607F4" w14:paraId="5FCF9324" w14:textId="77777777">
        <w:trPr>
          <w:trHeight w:val="23"/>
          <w:jc w:val="center"/>
        </w:trPr>
        <w:tc>
          <w:tcPr>
            <w:tcW w:w="8002" w:type="dxa"/>
            <w:vMerge/>
            <w:tcBorders>
              <w:top w:val="single" w:sz="4" w:space="0" w:color="auto"/>
              <w:left w:val="single" w:sz="4" w:space="0" w:color="auto"/>
              <w:bottom w:val="single" w:sz="4" w:space="0" w:color="auto"/>
              <w:right w:val="single" w:sz="4" w:space="0" w:color="auto"/>
            </w:tcBorders>
            <w:vAlign w:val="center"/>
            <w:hideMark/>
          </w:tcPr>
          <w:p w14:paraId="5FCF9321" w14:textId="77777777" w:rsidR="00B607F4" w:rsidRDefault="00B607F4">
            <w:pPr>
              <w:rPr>
                <w:color w:val="000000"/>
                <w:sz w:val="22"/>
                <w:szCs w:val="22"/>
              </w:rPr>
            </w:pPr>
          </w:p>
        </w:tc>
        <w:tc>
          <w:tcPr>
            <w:tcW w:w="5488" w:type="dxa"/>
            <w:tcBorders>
              <w:top w:val="single" w:sz="4" w:space="0" w:color="auto"/>
              <w:left w:val="single" w:sz="4" w:space="0" w:color="auto"/>
              <w:bottom w:val="single" w:sz="4" w:space="0" w:color="auto"/>
              <w:right w:val="single" w:sz="4" w:space="0" w:color="auto"/>
            </w:tcBorders>
            <w:hideMark/>
          </w:tcPr>
          <w:p w14:paraId="5FCF9322" w14:textId="77777777" w:rsidR="00B607F4" w:rsidRDefault="00405F24">
            <w:pPr>
              <w:keepNext/>
              <w:keepLines/>
              <w:spacing w:line="276" w:lineRule="auto"/>
              <w:ind w:right="113"/>
              <w:contextualSpacing/>
              <w:rPr>
                <w:color w:val="000000"/>
                <w:sz w:val="22"/>
                <w:szCs w:val="22"/>
              </w:rPr>
            </w:pPr>
            <w:r>
              <w:rPr>
                <w:color w:val="000000"/>
                <w:sz w:val="22"/>
                <w:szCs w:val="22"/>
              </w:rPr>
              <w:t>skirti neformaliojo suaugusiųjų švietimo ir tęstinio mokymosi koordinatorius savivaldybėse</w:t>
            </w:r>
          </w:p>
        </w:tc>
        <w:tc>
          <w:tcPr>
            <w:tcW w:w="1276" w:type="dxa"/>
            <w:tcBorders>
              <w:top w:val="single" w:sz="4" w:space="0" w:color="auto"/>
              <w:left w:val="single" w:sz="4" w:space="0" w:color="auto"/>
              <w:bottom w:val="single" w:sz="4" w:space="0" w:color="auto"/>
              <w:right w:val="single" w:sz="4" w:space="0" w:color="auto"/>
            </w:tcBorders>
            <w:hideMark/>
          </w:tcPr>
          <w:p w14:paraId="5FCF9323" w14:textId="77777777" w:rsidR="00B607F4" w:rsidRDefault="00405F24">
            <w:pPr>
              <w:keepNext/>
              <w:keepLines/>
              <w:spacing w:line="276" w:lineRule="auto"/>
              <w:jc w:val="center"/>
              <w:rPr>
                <w:color w:val="000000"/>
                <w:sz w:val="22"/>
                <w:szCs w:val="22"/>
              </w:rPr>
            </w:pPr>
            <w:r>
              <w:rPr>
                <w:color w:val="000000"/>
                <w:sz w:val="22"/>
                <w:szCs w:val="22"/>
              </w:rPr>
              <w:t>galimybė</w:t>
            </w:r>
          </w:p>
        </w:tc>
      </w:tr>
      <w:tr w:rsidR="00B607F4" w14:paraId="5FCF9328" w14:textId="77777777">
        <w:trPr>
          <w:trHeight w:val="23"/>
          <w:jc w:val="center"/>
        </w:trPr>
        <w:tc>
          <w:tcPr>
            <w:tcW w:w="8002" w:type="dxa"/>
            <w:vMerge/>
            <w:tcBorders>
              <w:top w:val="single" w:sz="4" w:space="0" w:color="auto"/>
              <w:left w:val="single" w:sz="4" w:space="0" w:color="auto"/>
              <w:bottom w:val="single" w:sz="4" w:space="0" w:color="auto"/>
              <w:right w:val="single" w:sz="4" w:space="0" w:color="auto"/>
            </w:tcBorders>
            <w:vAlign w:val="center"/>
            <w:hideMark/>
          </w:tcPr>
          <w:p w14:paraId="5FCF9325" w14:textId="77777777" w:rsidR="00B607F4" w:rsidRDefault="00B607F4">
            <w:pPr>
              <w:rPr>
                <w:color w:val="000000"/>
                <w:sz w:val="22"/>
                <w:szCs w:val="22"/>
              </w:rPr>
            </w:pPr>
          </w:p>
        </w:tc>
        <w:tc>
          <w:tcPr>
            <w:tcW w:w="5488" w:type="dxa"/>
            <w:tcBorders>
              <w:top w:val="single" w:sz="4" w:space="0" w:color="auto"/>
              <w:left w:val="single" w:sz="4" w:space="0" w:color="auto"/>
              <w:bottom w:val="single" w:sz="4" w:space="0" w:color="auto"/>
              <w:right w:val="single" w:sz="4" w:space="0" w:color="auto"/>
            </w:tcBorders>
            <w:hideMark/>
          </w:tcPr>
          <w:p w14:paraId="5FCF9326" w14:textId="77777777" w:rsidR="00B607F4" w:rsidRDefault="00405F24">
            <w:pPr>
              <w:keepNext/>
              <w:keepLines/>
              <w:spacing w:line="276" w:lineRule="auto"/>
              <w:ind w:right="113"/>
              <w:contextualSpacing/>
              <w:rPr>
                <w:color w:val="000000"/>
                <w:sz w:val="22"/>
                <w:szCs w:val="22"/>
              </w:rPr>
            </w:pPr>
            <w:r>
              <w:rPr>
                <w:color w:val="000000"/>
                <w:sz w:val="22"/>
                <w:szCs w:val="22"/>
              </w:rPr>
              <w:t>kaimo ar atokiose vietovėse galimybės suaugusiesiems mokytis yra ribotos, o mokymąsi sunku suderinti su kasdieniu gyvenimu</w:t>
            </w:r>
          </w:p>
        </w:tc>
        <w:tc>
          <w:tcPr>
            <w:tcW w:w="1276" w:type="dxa"/>
            <w:tcBorders>
              <w:top w:val="single" w:sz="4" w:space="0" w:color="auto"/>
              <w:left w:val="single" w:sz="4" w:space="0" w:color="auto"/>
              <w:bottom w:val="single" w:sz="4" w:space="0" w:color="auto"/>
              <w:right w:val="single" w:sz="4" w:space="0" w:color="auto"/>
            </w:tcBorders>
            <w:hideMark/>
          </w:tcPr>
          <w:p w14:paraId="5FCF9327" w14:textId="77777777" w:rsidR="00B607F4" w:rsidRDefault="00405F24">
            <w:pPr>
              <w:keepNext/>
              <w:keepLines/>
              <w:spacing w:line="276" w:lineRule="auto"/>
              <w:jc w:val="center"/>
              <w:rPr>
                <w:color w:val="000000"/>
                <w:sz w:val="22"/>
                <w:szCs w:val="22"/>
              </w:rPr>
            </w:pPr>
            <w:r>
              <w:rPr>
                <w:color w:val="000000"/>
                <w:sz w:val="22"/>
                <w:szCs w:val="22"/>
              </w:rPr>
              <w:t>grėsmė</w:t>
            </w:r>
          </w:p>
        </w:tc>
      </w:tr>
      <w:tr w:rsidR="00B607F4" w14:paraId="5FCF932C" w14:textId="77777777">
        <w:trPr>
          <w:trHeight w:val="23"/>
          <w:jc w:val="center"/>
        </w:trPr>
        <w:tc>
          <w:tcPr>
            <w:tcW w:w="2514" w:type="dxa"/>
            <w:vMerge w:val="restart"/>
            <w:tcBorders>
              <w:top w:val="single" w:sz="4" w:space="0" w:color="auto"/>
              <w:left w:val="single" w:sz="4" w:space="0" w:color="auto"/>
              <w:bottom w:val="single" w:sz="4" w:space="0" w:color="auto"/>
              <w:right w:val="single" w:sz="4" w:space="0" w:color="auto"/>
            </w:tcBorders>
            <w:hideMark/>
          </w:tcPr>
          <w:p w14:paraId="5FCF9329" w14:textId="77777777" w:rsidR="00B607F4" w:rsidRDefault="00405F24">
            <w:pPr>
              <w:keepNext/>
              <w:keepLines/>
              <w:spacing w:line="276" w:lineRule="auto"/>
              <w:ind w:right="113"/>
              <w:contextualSpacing/>
              <w:rPr>
                <w:color w:val="000000"/>
                <w:sz w:val="22"/>
                <w:szCs w:val="22"/>
              </w:rPr>
            </w:pPr>
            <w:r>
              <w:rPr>
                <w:color w:val="000000"/>
                <w:sz w:val="22"/>
                <w:szCs w:val="22"/>
              </w:rPr>
              <w:t xml:space="preserve">1.3. Sudaryti sąlygas suaugusiesiems įgyti bendrųjų kompetencijų ir formuoti jiems teigiamas mokymosi visą gyvenimą nuostatas, plėtoti formaliojo ir neformaliojo švietimo galimybes, skaitmeninio mokymosi turinį ir programas, sukurti neformaliojo ir praktinio mokymosi metu įgytų kompetencijų </w:t>
            </w:r>
            <w:r>
              <w:rPr>
                <w:color w:val="000000"/>
                <w:spacing w:val="-2"/>
                <w:sz w:val="22"/>
                <w:szCs w:val="22"/>
              </w:rPr>
              <w:t>pripažinimo mechanizmus</w:t>
            </w:r>
          </w:p>
        </w:tc>
        <w:tc>
          <w:tcPr>
            <w:tcW w:w="5488" w:type="dxa"/>
            <w:tcBorders>
              <w:top w:val="single" w:sz="4" w:space="0" w:color="auto"/>
              <w:left w:val="single" w:sz="4" w:space="0" w:color="auto"/>
              <w:bottom w:val="single" w:sz="4" w:space="0" w:color="auto"/>
              <w:right w:val="single" w:sz="4" w:space="0" w:color="auto"/>
            </w:tcBorders>
            <w:hideMark/>
          </w:tcPr>
          <w:p w14:paraId="5FCF932A" w14:textId="77777777" w:rsidR="00B607F4" w:rsidRDefault="00405F24">
            <w:pPr>
              <w:keepNext/>
              <w:keepLines/>
              <w:spacing w:line="276" w:lineRule="auto"/>
              <w:ind w:right="113"/>
              <w:rPr>
                <w:color w:val="000000"/>
                <w:sz w:val="22"/>
                <w:szCs w:val="22"/>
              </w:rPr>
            </w:pPr>
            <w:r>
              <w:rPr>
                <w:color w:val="000000"/>
                <w:sz w:val="22"/>
                <w:szCs w:val="22"/>
              </w:rPr>
              <w:t>skaitmeninamas neformaliojo suaugusiųjų švietimo ir tęstinio mokymosi turinys ir programos</w:t>
            </w:r>
          </w:p>
        </w:tc>
        <w:tc>
          <w:tcPr>
            <w:tcW w:w="1276" w:type="dxa"/>
            <w:tcBorders>
              <w:top w:val="single" w:sz="4" w:space="0" w:color="auto"/>
              <w:left w:val="single" w:sz="4" w:space="0" w:color="auto"/>
              <w:bottom w:val="single" w:sz="4" w:space="0" w:color="auto"/>
              <w:right w:val="single" w:sz="4" w:space="0" w:color="auto"/>
            </w:tcBorders>
            <w:hideMark/>
          </w:tcPr>
          <w:p w14:paraId="5FCF932B" w14:textId="77777777" w:rsidR="00B607F4" w:rsidRDefault="00405F24">
            <w:pPr>
              <w:keepNext/>
              <w:keepLines/>
              <w:spacing w:line="276" w:lineRule="auto"/>
              <w:jc w:val="center"/>
              <w:rPr>
                <w:color w:val="000000"/>
                <w:sz w:val="22"/>
                <w:szCs w:val="22"/>
              </w:rPr>
            </w:pPr>
            <w:r>
              <w:rPr>
                <w:color w:val="000000"/>
                <w:sz w:val="22"/>
                <w:szCs w:val="22"/>
              </w:rPr>
              <w:t>stiprybė</w:t>
            </w:r>
          </w:p>
        </w:tc>
      </w:tr>
      <w:tr w:rsidR="00B607F4" w14:paraId="5FCF9330" w14:textId="77777777">
        <w:trPr>
          <w:trHeight w:val="23"/>
          <w:jc w:val="center"/>
        </w:trPr>
        <w:tc>
          <w:tcPr>
            <w:tcW w:w="8002" w:type="dxa"/>
            <w:vMerge/>
            <w:tcBorders>
              <w:top w:val="single" w:sz="4" w:space="0" w:color="auto"/>
              <w:left w:val="single" w:sz="4" w:space="0" w:color="auto"/>
              <w:bottom w:val="single" w:sz="4" w:space="0" w:color="auto"/>
              <w:right w:val="single" w:sz="4" w:space="0" w:color="auto"/>
            </w:tcBorders>
            <w:vAlign w:val="center"/>
            <w:hideMark/>
          </w:tcPr>
          <w:p w14:paraId="5FCF932D" w14:textId="77777777" w:rsidR="00B607F4" w:rsidRDefault="00B607F4">
            <w:pPr>
              <w:rPr>
                <w:color w:val="000000"/>
                <w:sz w:val="22"/>
                <w:szCs w:val="22"/>
              </w:rPr>
            </w:pPr>
          </w:p>
        </w:tc>
        <w:tc>
          <w:tcPr>
            <w:tcW w:w="5488" w:type="dxa"/>
            <w:tcBorders>
              <w:top w:val="single" w:sz="4" w:space="0" w:color="auto"/>
              <w:left w:val="single" w:sz="4" w:space="0" w:color="auto"/>
              <w:bottom w:val="single" w:sz="4" w:space="0" w:color="auto"/>
              <w:right w:val="single" w:sz="4" w:space="0" w:color="auto"/>
            </w:tcBorders>
            <w:hideMark/>
          </w:tcPr>
          <w:p w14:paraId="5FCF932E" w14:textId="77777777" w:rsidR="00B607F4" w:rsidRDefault="00405F24">
            <w:pPr>
              <w:spacing w:line="276" w:lineRule="auto"/>
              <w:ind w:right="113"/>
              <w:contextualSpacing/>
              <w:rPr>
                <w:color w:val="000000"/>
                <w:sz w:val="22"/>
                <w:szCs w:val="22"/>
              </w:rPr>
            </w:pPr>
            <w:r>
              <w:rPr>
                <w:color w:val="000000"/>
                <w:sz w:val="22"/>
                <w:szCs w:val="22"/>
              </w:rPr>
              <w:t>besimokantieji teigiamai vertina nuolatinį žinių ir įgūdžių tobulinimą kaip sąlygą įsidarbinti ir tobulėti</w:t>
            </w:r>
          </w:p>
        </w:tc>
        <w:tc>
          <w:tcPr>
            <w:tcW w:w="1276" w:type="dxa"/>
            <w:tcBorders>
              <w:top w:val="single" w:sz="4" w:space="0" w:color="auto"/>
              <w:left w:val="single" w:sz="4" w:space="0" w:color="auto"/>
              <w:bottom w:val="single" w:sz="4" w:space="0" w:color="auto"/>
              <w:right w:val="single" w:sz="4" w:space="0" w:color="auto"/>
            </w:tcBorders>
            <w:hideMark/>
          </w:tcPr>
          <w:p w14:paraId="5FCF932F" w14:textId="77777777" w:rsidR="00B607F4" w:rsidRDefault="00405F24">
            <w:pPr>
              <w:spacing w:line="276" w:lineRule="auto"/>
              <w:jc w:val="center"/>
              <w:rPr>
                <w:color w:val="000000"/>
                <w:sz w:val="22"/>
                <w:szCs w:val="22"/>
              </w:rPr>
            </w:pPr>
            <w:r>
              <w:rPr>
                <w:color w:val="000000"/>
                <w:sz w:val="22"/>
                <w:szCs w:val="22"/>
              </w:rPr>
              <w:t>galimybė</w:t>
            </w:r>
          </w:p>
        </w:tc>
      </w:tr>
      <w:tr w:rsidR="00B607F4" w14:paraId="5FCF9334" w14:textId="77777777">
        <w:trPr>
          <w:trHeight w:val="23"/>
          <w:jc w:val="center"/>
        </w:trPr>
        <w:tc>
          <w:tcPr>
            <w:tcW w:w="8002" w:type="dxa"/>
            <w:vMerge/>
            <w:tcBorders>
              <w:top w:val="single" w:sz="4" w:space="0" w:color="auto"/>
              <w:left w:val="single" w:sz="4" w:space="0" w:color="auto"/>
              <w:bottom w:val="single" w:sz="4" w:space="0" w:color="auto"/>
              <w:right w:val="single" w:sz="4" w:space="0" w:color="auto"/>
            </w:tcBorders>
            <w:vAlign w:val="center"/>
            <w:hideMark/>
          </w:tcPr>
          <w:p w14:paraId="5FCF9331" w14:textId="77777777" w:rsidR="00B607F4" w:rsidRDefault="00B607F4">
            <w:pPr>
              <w:rPr>
                <w:color w:val="000000"/>
                <w:sz w:val="22"/>
                <w:szCs w:val="22"/>
              </w:rPr>
            </w:pPr>
          </w:p>
        </w:tc>
        <w:tc>
          <w:tcPr>
            <w:tcW w:w="5488" w:type="dxa"/>
            <w:tcBorders>
              <w:top w:val="single" w:sz="4" w:space="0" w:color="auto"/>
              <w:left w:val="single" w:sz="4" w:space="0" w:color="auto"/>
              <w:bottom w:val="single" w:sz="4" w:space="0" w:color="auto"/>
              <w:right w:val="single" w:sz="4" w:space="0" w:color="auto"/>
            </w:tcBorders>
            <w:hideMark/>
          </w:tcPr>
          <w:p w14:paraId="5FCF9332" w14:textId="77777777" w:rsidR="00B607F4" w:rsidRDefault="00405F24">
            <w:pPr>
              <w:spacing w:line="276" w:lineRule="auto"/>
              <w:ind w:right="113"/>
              <w:rPr>
                <w:color w:val="000000"/>
                <w:sz w:val="22"/>
                <w:szCs w:val="22"/>
              </w:rPr>
            </w:pPr>
            <w:r>
              <w:rPr>
                <w:color w:val="000000"/>
                <w:sz w:val="22"/>
                <w:szCs w:val="22"/>
              </w:rPr>
              <w:t>nėra veiksmingo neformaliojo suaugusiųjų švietimo ir kokybės vertinimo mechanizmo</w:t>
            </w:r>
          </w:p>
        </w:tc>
        <w:tc>
          <w:tcPr>
            <w:tcW w:w="1276" w:type="dxa"/>
            <w:tcBorders>
              <w:top w:val="single" w:sz="4" w:space="0" w:color="auto"/>
              <w:left w:val="single" w:sz="4" w:space="0" w:color="auto"/>
              <w:bottom w:val="single" w:sz="4" w:space="0" w:color="auto"/>
              <w:right w:val="single" w:sz="4" w:space="0" w:color="auto"/>
            </w:tcBorders>
            <w:hideMark/>
          </w:tcPr>
          <w:p w14:paraId="5FCF9333" w14:textId="77777777" w:rsidR="00B607F4" w:rsidRDefault="00405F24">
            <w:pPr>
              <w:spacing w:line="276" w:lineRule="auto"/>
              <w:jc w:val="center"/>
              <w:rPr>
                <w:color w:val="000000"/>
                <w:sz w:val="22"/>
                <w:szCs w:val="22"/>
              </w:rPr>
            </w:pPr>
            <w:r>
              <w:rPr>
                <w:color w:val="000000"/>
                <w:sz w:val="22"/>
                <w:szCs w:val="22"/>
              </w:rPr>
              <w:t>grėsmė</w:t>
            </w:r>
          </w:p>
        </w:tc>
      </w:tr>
      <w:tr w:rsidR="00B607F4" w14:paraId="5FCF9338" w14:textId="77777777">
        <w:trPr>
          <w:trHeight w:val="23"/>
          <w:jc w:val="center"/>
        </w:trPr>
        <w:tc>
          <w:tcPr>
            <w:tcW w:w="8002" w:type="dxa"/>
            <w:vMerge/>
            <w:tcBorders>
              <w:top w:val="single" w:sz="4" w:space="0" w:color="auto"/>
              <w:left w:val="single" w:sz="4" w:space="0" w:color="auto"/>
              <w:bottom w:val="single" w:sz="4" w:space="0" w:color="auto"/>
              <w:right w:val="single" w:sz="4" w:space="0" w:color="auto"/>
            </w:tcBorders>
            <w:vAlign w:val="center"/>
            <w:hideMark/>
          </w:tcPr>
          <w:p w14:paraId="5FCF9335" w14:textId="77777777" w:rsidR="00B607F4" w:rsidRDefault="00B607F4">
            <w:pPr>
              <w:rPr>
                <w:color w:val="000000"/>
                <w:sz w:val="22"/>
                <w:szCs w:val="22"/>
              </w:rPr>
            </w:pPr>
          </w:p>
        </w:tc>
        <w:tc>
          <w:tcPr>
            <w:tcW w:w="5488" w:type="dxa"/>
            <w:tcBorders>
              <w:top w:val="single" w:sz="4" w:space="0" w:color="auto"/>
              <w:left w:val="single" w:sz="4" w:space="0" w:color="auto"/>
              <w:bottom w:val="single" w:sz="4" w:space="0" w:color="auto"/>
              <w:right w:val="single" w:sz="4" w:space="0" w:color="auto"/>
            </w:tcBorders>
            <w:hideMark/>
          </w:tcPr>
          <w:p w14:paraId="5FCF9336" w14:textId="77777777" w:rsidR="00B607F4" w:rsidRDefault="00405F24">
            <w:pPr>
              <w:spacing w:line="276" w:lineRule="auto"/>
              <w:ind w:right="113"/>
              <w:contextualSpacing/>
              <w:rPr>
                <w:color w:val="000000"/>
                <w:sz w:val="22"/>
                <w:szCs w:val="22"/>
              </w:rPr>
            </w:pPr>
            <w:r>
              <w:rPr>
                <w:color w:val="000000"/>
                <w:sz w:val="22"/>
                <w:szCs w:val="22"/>
              </w:rPr>
              <w:t xml:space="preserve">mažai kompetencijų pripažinimo proceso dalyvių </w:t>
            </w:r>
          </w:p>
        </w:tc>
        <w:tc>
          <w:tcPr>
            <w:tcW w:w="1276" w:type="dxa"/>
            <w:tcBorders>
              <w:top w:val="single" w:sz="4" w:space="0" w:color="auto"/>
              <w:left w:val="single" w:sz="4" w:space="0" w:color="auto"/>
              <w:bottom w:val="single" w:sz="4" w:space="0" w:color="auto"/>
              <w:right w:val="single" w:sz="4" w:space="0" w:color="auto"/>
            </w:tcBorders>
            <w:hideMark/>
          </w:tcPr>
          <w:p w14:paraId="5FCF9337" w14:textId="77777777" w:rsidR="00B607F4" w:rsidRDefault="00405F24">
            <w:pPr>
              <w:spacing w:line="276" w:lineRule="auto"/>
              <w:jc w:val="center"/>
              <w:rPr>
                <w:color w:val="000000"/>
                <w:sz w:val="22"/>
                <w:szCs w:val="22"/>
              </w:rPr>
            </w:pPr>
            <w:r>
              <w:rPr>
                <w:color w:val="000000"/>
                <w:sz w:val="22"/>
                <w:szCs w:val="22"/>
              </w:rPr>
              <w:t>silpnybė</w:t>
            </w:r>
          </w:p>
        </w:tc>
      </w:tr>
      <w:tr w:rsidR="00B607F4" w14:paraId="5FCF933B" w14:textId="77777777">
        <w:trPr>
          <w:trHeight w:val="23"/>
          <w:jc w:val="center"/>
        </w:trPr>
        <w:tc>
          <w:tcPr>
            <w:tcW w:w="8002" w:type="dxa"/>
            <w:gridSpan w:val="2"/>
            <w:tcBorders>
              <w:top w:val="single" w:sz="4" w:space="0" w:color="auto"/>
              <w:left w:val="single" w:sz="4" w:space="0" w:color="auto"/>
              <w:bottom w:val="single" w:sz="4" w:space="0" w:color="auto"/>
              <w:right w:val="single" w:sz="4" w:space="0" w:color="auto"/>
            </w:tcBorders>
            <w:vAlign w:val="center"/>
            <w:hideMark/>
          </w:tcPr>
          <w:p w14:paraId="5FCF9339" w14:textId="77777777" w:rsidR="00B607F4" w:rsidRDefault="00405F24">
            <w:pPr>
              <w:spacing w:line="276" w:lineRule="auto"/>
              <w:ind w:right="113"/>
              <w:jc w:val="center"/>
              <w:rPr>
                <w:color w:val="000000"/>
                <w:sz w:val="22"/>
                <w:szCs w:val="22"/>
              </w:rPr>
            </w:pPr>
            <w:r>
              <w:rPr>
                <w:color w:val="000000"/>
                <w:sz w:val="22"/>
                <w:szCs w:val="22"/>
              </w:rPr>
              <w:t>2. Suderinti mokymąsi visą gyvenimą su šalies ūkio ir visuomenės poreikiais</w:t>
            </w:r>
          </w:p>
        </w:tc>
        <w:tc>
          <w:tcPr>
            <w:tcW w:w="1276" w:type="dxa"/>
            <w:tcBorders>
              <w:top w:val="single" w:sz="4" w:space="0" w:color="auto"/>
              <w:left w:val="single" w:sz="4" w:space="0" w:color="auto"/>
              <w:bottom w:val="single" w:sz="4" w:space="0" w:color="auto"/>
              <w:right w:val="single" w:sz="4" w:space="0" w:color="auto"/>
            </w:tcBorders>
            <w:vAlign w:val="center"/>
          </w:tcPr>
          <w:p w14:paraId="5FCF933A" w14:textId="77777777" w:rsidR="00B607F4" w:rsidRDefault="00B607F4">
            <w:pPr>
              <w:spacing w:line="276" w:lineRule="auto"/>
              <w:jc w:val="center"/>
              <w:rPr>
                <w:color w:val="000000"/>
                <w:sz w:val="22"/>
                <w:szCs w:val="22"/>
              </w:rPr>
            </w:pPr>
          </w:p>
        </w:tc>
      </w:tr>
      <w:tr w:rsidR="00B607F4" w14:paraId="5FCF933F" w14:textId="77777777">
        <w:trPr>
          <w:trHeight w:val="23"/>
          <w:jc w:val="center"/>
        </w:trPr>
        <w:tc>
          <w:tcPr>
            <w:tcW w:w="2514" w:type="dxa"/>
            <w:vMerge w:val="restart"/>
            <w:tcBorders>
              <w:top w:val="single" w:sz="4" w:space="0" w:color="auto"/>
              <w:left w:val="single" w:sz="4" w:space="0" w:color="auto"/>
              <w:bottom w:val="single" w:sz="4" w:space="0" w:color="auto"/>
              <w:right w:val="single" w:sz="4" w:space="0" w:color="auto"/>
            </w:tcBorders>
            <w:hideMark/>
          </w:tcPr>
          <w:p w14:paraId="5FCF933C" w14:textId="77777777" w:rsidR="00B607F4" w:rsidRDefault="00405F24">
            <w:pPr>
              <w:spacing w:line="276" w:lineRule="auto"/>
              <w:ind w:right="113"/>
              <w:contextualSpacing/>
              <w:rPr>
                <w:color w:val="000000"/>
                <w:sz w:val="22"/>
                <w:szCs w:val="22"/>
              </w:rPr>
            </w:pPr>
            <w:r>
              <w:rPr>
                <w:color w:val="000000"/>
                <w:sz w:val="22"/>
                <w:szCs w:val="22"/>
              </w:rPr>
              <w:t xml:space="preserve">2.1. Skatinti mokymosi visą gyvenimą įvairovę pagal šalies ūkio ir visuomenės poreikį ir veiklos rūšių tęstinumo pajėgumus, kurti lanksčią prieinamumo sistemą, užtikrinti </w:t>
            </w:r>
            <w:r>
              <w:rPr>
                <w:color w:val="000000"/>
                <w:sz w:val="22"/>
                <w:szCs w:val="22"/>
              </w:rPr>
              <w:lastRenderedPageBreak/>
              <w:t>mokymo kokybę, didinti kultūros įstaigų, verslo galimybių dalyvauti atliekant tarptautinį suaugusiųjų kompetencijų tyrimą (PIAAC)</w:t>
            </w:r>
          </w:p>
        </w:tc>
        <w:tc>
          <w:tcPr>
            <w:tcW w:w="5488" w:type="dxa"/>
            <w:tcBorders>
              <w:top w:val="single" w:sz="4" w:space="0" w:color="auto"/>
              <w:left w:val="single" w:sz="4" w:space="0" w:color="auto"/>
              <w:bottom w:val="single" w:sz="4" w:space="0" w:color="auto"/>
              <w:right w:val="single" w:sz="4" w:space="0" w:color="auto"/>
            </w:tcBorders>
            <w:hideMark/>
          </w:tcPr>
          <w:p w14:paraId="5FCF933D" w14:textId="77777777" w:rsidR="00B607F4" w:rsidRDefault="00405F24">
            <w:pPr>
              <w:spacing w:line="276" w:lineRule="auto"/>
              <w:ind w:right="113"/>
              <w:rPr>
                <w:color w:val="000000"/>
                <w:sz w:val="22"/>
                <w:szCs w:val="22"/>
              </w:rPr>
            </w:pPr>
            <w:r>
              <w:rPr>
                <w:color w:val="000000"/>
                <w:sz w:val="22"/>
                <w:szCs w:val="22"/>
              </w:rPr>
              <w:lastRenderedPageBreak/>
              <w:t>aukštosios mokyklos per mažai atsižvelgia į darbo rinkos poreikius, nepakankama sąveika su darbdaviais</w:t>
            </w:r>
          </w:p>
        </w:tc>
        <w:tc>
          <w:tcPr>
            <w:tcW w:w="1276" w:type="dxa"/>
            <w:tcBorders>
              <w:top w:val="single" w:sz="4" w:space="0" w:color="auto"/>
              <w:left w:val="single" w:sz="4" w:space="0" w:color="auto"/>
              <w:bottom w:val="single" w:sz="4" w:space="0" w:color="auto"/>
              <w:right w:val="single" w:sz="4" w:space="0" w:color="auto"/>
            </w:tcBorders>
            <w:hideMark/>
          </w:tcPr>
          <w:p w14:paraId="5FCF933E" w14:textId="77777777" w:rsidR="00B607F4" w:rsidRDefault="00405F24">
            <w:pPr>
              <w:spacing w:line="276" w:lineRule="auto"/>
              <w:jc w:val="center"/>
              <w:rPr>
                <w:color w:val="000000"/>
                <w:sz w:val="22"/>
                <w:szCs w:val="22"/>
              </w:rPr>
            </w:pPr>
            <w:r>
              <w:rPr>
                <w:color w:val="000000"/>
                <w:sz w:val="22"/>
                <w:szCs w:val="22"/>
              </w:rPr>
              <w:t>silpnybė</w:t>
            </w:r>
          </w:p>
        </w:tc>
      </w:tr>
      <w:tr w:rsidR="00B607F4" w14:paraId="5FCF9343" w14:textId="77777777">
        <w:trPr>
          <w:trHeight w:val="23"/>
          <w:jc w:val="center"/>
        </w:trPr>
        <w:tc>
          <w:tcPr>
            <w:tcW w:w="8002" w:type="dxa"/>
            <w:vMerge/>
            <w:tcBorders>
              <w:top w:val="single" w:sz="4" w:space="0" w:color="auto"/>
              <w:left w:val="single" w:sz="4" w:space="0" w:color="auto"/>
              <w:bottom w:val="single" w:sz="4" w:space="0" w:color="auto"/>
              <w:right w:val="single" w:sz="4" w:space="0" w:color="auto"/>
            </w:tcBorders>
            <w:vAlign w:val="center"/>
            <w:hideMark/>
          </w:tcPr>
          <w:p w14:paraId="5FCF9340" w14:textId="77777777" w:rsidR="00B607F4" w:rsidRDefault="00B607F4">
            <w:pPr>
              <w:rPr>
                <w:color w:val="000000"/>
                <w:sz w:val="22"/>
                <w:szCs w:val="22"/>
              </w:rPr>
            </w:pPr>
          </w:p>
        </w:tc>
        <w:tc>
          <w:tcPr>
            <w:tcW w:w="5488" w:type="dxa"/>
            <w:tcBorders>
              <w:top w:val="single" w:sz="4" w:space="0" w:color="auto"/>
              <w:left w:val="single" w:sz="4" w:space="0" w:color="auto"/>
              <w:bottom w:val="single" w:sz="4" w:space="0" w:color="auto"/>
              <w:right w:val="single" w:sz="4" w:space="0" w:color="auto"/>
            </w:tcBorders>
            <w:hideMark/>
          </w:tcPr>
          <w:p w14:paraId="5FCF9341" w14:textId="77777777" w:rsidR="00B607F4" w:rsidRDefault="00405F24">
            <w:pPr>
              <w:spacing w:line="276" w:lineRule="auto"/>
              <w:ind w:right="113"/>
              <w:contextualSpacing/>
              <w:rPr>
                <w:color w:val="000000"/>
                <w:sz w:val="22"/>
                <w:szCs w:val="22"/>
              </w:rPr>
            </w:pPr>
            <w:r>
              <w:rPr>
                <w:bCs/>
                <w:color w:val="000000"/>
                <w:kern w:val="36"/>
                <w:sz w:val="22"/>
                <w:szCs w:val="22"/>
              </w:rPr>
              <w:t xml:space="preserve">skiriama nepakankamai Lietuvos Respublikos valstybės biudžeto ir savivaldybių biudžeto lėšų </w:t>
            </w:r>
            <w:r>
              <w:rPr>
                <w:color w:val="000000"/>
                <w:sz w:val="22"/>
                <w:szCs w:val="22"/>
              </w:rPr>
              <w:t>dalyvauti mokymosi visą gyvenimą veiklose</w:t>
            </w:r>
          </w:p>
        </w:tc>
        <w:tc>
          <w:tcPr>
            <w:tcW w:w="1276" w:type="dxa"/>
            <w:tcBorders>
              <w:top w:val="single" w:sz="4" w:space="0" w:color="auto"/>
              <w:left w:val="single" w:sz="4" w:space="0" w:color="auto"/>
              <w:bottom w:val="single" w:sz="4" w:space="0" w:color="auto"/>
              <w:right w:val="single" w:sz="4" w:space="0" w:color="auto"/>
            </w:tcBorders>
            <w:hideMark/>
          </w:tcPr>
          <w:p w14:paraId="5FCF9342" w14:textId="77777777" w:rsidR="00B607F4" w:rsidRDefault="00405F24">
            <w:pPr>
              <w:spacing w:line="276" w:lineRule="auto"/>
              <w:jc w:val="center"/>
              <w:rPr>
                <w:color w:val="000000"/>
                <w:sz w:val="22"/>
                <w:szCs w:val="22"/>
              </w:rPr>
            </w:pPr>
            <w:r>
              <w:rPr>
                <w:color w:val="000000"/>
                <w:sz w:val="22"/>
                <w:szCs w:val="22"/>
              </w:rPr>
              <w:t>grėsmė</w:t>
            </w:r>
          </w:p>
        </w:tc>
      </w:tr>
      <w:tr w:rsidR="00B607F4" w14:paraId="5FCF9347" w14:textId="77777777">
        <w:trPr>
          <w:trHeight w:val="23"/>
          <w:jc w:val="center"/>
        </w:trPr>
        <w:tc>
          <w:tcPr>
            <w:tcW w:w="8002" w:type="dxa"/>
            <w:vMerge/>
            <w:tcBorders>
              <w:top w:val="single" w:sz="4" w:space="0" w:color="auto"/>
              <w:left w:val="single" w:sz="4" w:space="0" w:color="auto"/>
              <w:bottom w:val="single" w:sz="4" w:space="0" w:color="auto"/>
              <w:right w:val="single" w:sz="4" w:space="0" w:color="auto"/>
            </w:tcBorders>
            <w:vAlign w:val="center"/>
            <w:hideMark/>
          </w:tcPr>
          <w:p w14:paraId="5FCF9344" w14:textId="77777777" w:rsidR="00B607F4" w:rsidRDefault="00B607F4">
            <w:pPr>
              <w:rPr>
                <w:color w:val="000000"/>
                <w:sz w:val="22"/>
                <w:szCs w:val="22"/>
              </w:rPr>
            </w:pPr>
          </w:p>
        </w:tc>
        <w:tc>
          <w:tcPr>
            <w:tcW w:w="5488" w:type="dxa"/>
            <w:tcBorders>
              <w:top w:val="single" w:sz="4" w:space="0" w:color="auto"/>
              <w:left w:val="single" w:sz="4" w:space="0" w:color="auto"/>
              <w:bottom w:val="single" w:sz="4" w:space="0" w:color="auto"/>
              <w:right w:val="single" w:sz="4" w:space="0" w:color="auto"/>
            </w:tcBorders>
            <w:hideMark/>
          </w:tcPr>
          <w:p w14:paraId="5FCF9345" w14:textId="77777777" w:rsidR="00B607F4" w:rsidRDefault="00405F24">
            <w:pPr>
              <w:spacing w:line="276" w:lineRule="auto"/>
              <w:ind w:right="113"/>
              <w:contextualSpacing/>
              <w:rPr>
                <w:color w:val="000000"/>
                <w:sz w:val="22"/>
                <w:szCs w:val="22"/>
              </w:rPr>
            </w:pPr>
            <w:r>
              <w:rPr>
                <w:bCs/>
                <w:color w:val="000000"/>
                <w:sz w:val="22"/>
                <w:szCs w:val="22"/>
              </w:rPr>
              <w:t>Ekonominio bendradarbiavimo ir plėtros organizacija</w:t>
            </w:r>
            <w:r>
              <w:rPr>
                <w:color w:val="000000"/>
                <w:sz w:val="22"/>
                <w:szCs w:val="22"/>
              </w:rPr>
              <w:t xml:space="preserve"> (EBPO) kviečia Lietuvą dalyvauti atliekant tarptautinį suaugusiųjų kompetencijų tyrimą (PIAAC)</w:t>
            </w:r>
          </w:p>
        </w:tc>
        <w:tc>
          <w:tcPr>
            <w:tcW w:w="1276" w:type="dxa"/>
            <w:tcBorders>
              <w:top w:val="single" w:sz="4" w:space="0" w:color="auto"/>
              <w:left w:val="single" w:sz="4" w:space="0" w:color="auto"/>
              <w:bottom w:val="single" w:sz="4" w:space="0" w:color="auto"/>
              <w:right w:val="single" w:sz="4" w:space="0" w:color="auto"/>
            </w:tcBorders>
            <w:hideMark/>
          </w:tcPr>
          <w:p w14:paraId="5FCF9346" w14:textId="77777777" w:rsidR="00B607F4" w:rsidRDefault="00405F24">
            <w:pPr>
              <w:spacing w:line="276" w:lineRule="auto"/>
              <w:jc w:val="center"/>
              <w:rPr>
                <w:color w:val="000000"/>
                <w:sz w:val="22"/>
                <w:szCs w:val="22"/>
              </w:rPr>
            </w:pPr>
            <w:r>
              <w:rPr>
                <w:color w:val="000000"/>
                <w:sz w:val="22"/>
                <w:szCs w:val="22"/>
              </w:rPr>
              <w:t>galimybė</w:t>
            </w:r>
          </w:p>
        </w:tc>
      </w:tr>
      <w:tr w:rsidR="00B607F4" w14:paraId="5FCF934B" w14:textId="77777777">
        <w:trPr>
          <w:trHeight w:val="23"/>
          <w:jc w:val="center"/>
        </w:trPr>
        <w:tc>
          <w:tcPr>
            <w:tcW w:w="8002" w:type="dxa"/>
            <w:vMerge/>
            <w:tcBorders>
              <w:top w:val="single" w:sz="4" w:space="0" w:color="auto"/>
              <w:left w:val="single" w:sz="4" w:space="0" w:color="auto"/>
              <w:bottom w:val="single" w:sz="4" w:space="0" w:color="auto"/>
              <w:right w:val="single" w:sz="4" w:space="0" w:color="auto"/>
            </w:tcBorders>
            <w:vAlign w:val="center"/>
            <w:hideMark/>
          </w:tcPr>
          <w:p w14:paraId="5FCF9348" w14:textId="77777777" w:rsidR="00B607F4" w:rsidRDefault="00B607F4">
            <w:pPr>
              <w:rPr>
                <w:color w:val="000000"/>
                <w:sz w:val="22"/>
                <w:szCs w:val="22"/>
              </w:rPr>
            </w:pPr>
          </w:p>
        </w:tc>
        <w:tc>
          <w:tcPr>
            <w:tcW w:w="5488" w:type="dxa"/>
            <w:tcBorders>
              <w:top w:val="single" w:sz="4" w:space="0" w:color="auto"/>
              <w:left w:val="single" w:sz="4" w:space="0" w:color="auto"/>
              <w:bottom w:val="single" w:sz="4" w:space="0" w:color="auto"/>
              <w:right w:val="single" w:sz="4" w:space="0" w:color="auto"/>
            </w:tcBorders>
            <w:hideMark/>
          </w:tcPr>
          <w:p w14:paraId="5FCF9349" w14:textId="77777777" w:rsidR="00B607F4" w:rsidRDefault="00405F24">
            <w:pPr>
              <w:spacing w:line="276" w:lineRule="auto"/>
              <w:ind w:right="113"/>
              <w:contextualSpacing/>
              <w:rPr>
                <w:color w:val="000000"/>
                <w:sz w:val="22"/>
                <w:szCs w:val="22"/>
              </w:rPr>
            </w:pPr>
            <w:r>
              <w:rPr>
                <w:bCs/>
                <w:color w:val="000000"/>
                <w:kern w:val="36"/>
                <w:sz w:val="22"/>
                <w:szCs w:val="22"/>
              </w:rPr>
              <w:t>neformalųjį suaugusiųjų švietimą teikia daugiau kaip 1 000 įvairių švietimo teikėjų</w:t>
            </w:r>
          </w:p>
        </w:tc>
        <w:tc>
          <w:tcPr>
            <w:tcW w:w="1276" w:type="dxa"/>
            <w:tcBorders>
              <w:top w:val="single" w:sz="4" w:space="0" w:color="auto"/>
              <w:left w:val="single" w:sz="4" w:space="0" w:color="auto"/>
              <w:bottom w:val="single" w:sz="4" w:space="0" w:color="auto"/>
              <w:right w:val="single" w:sz="4" w:space="0" w:color="auto"/>
            </w:tcBorders>
            <w:hideMark/>
          </w:tcPr>
          <w:p w14:paraId="5FCF934A" w14:textId="77777777" w:rsidR="00B607F4" w:rsidRDefault="00405F24">
            <w:pPr>
              <w:spacing w:line="276" w:lineRule="auto"/>
              <w:jc w:val="center"/>
              <w:rPr>
                <w:color w:val="000000"/>
                <w:sz w:val="22"/>
                <w:szCs w:val="22"/>
              </w:rPr>
            </w:pPr>
            <w:r>
              <w:rPr>
                <w:color w:val="000000"/>
                <w:sz w:val="22"/>
                <w:szCs w:val="22"/>
              </w:rPr>
              <w:t>stiprybė</w:t>
            </w:r>
          </w:p>
        </w:tc>
      </w:tr>
      <w:tr w:rsidR="00B607F4" w14:paraId="5FCF934F" w14:textId="77777777">
        <w:trPr>
          <w:trHeight w:val="23"/>
          <w:jc w:val="center"/>
        </w:trPr>
        <w:tc>
          <w:tcPr>
            <w:tcW w:w="2514" w:type="dxa"/>
            <w:vMerge w:val="restart"/>
            <w:tcBorders>
              <w:top w:val="single" w:sz="4" w:space="0" w:color="auto"/>
              <w:left w:val="single" w:sz="4" w:space="0" w:color="auto"/>
              <w:bottom w:val="single" w:sz="4" w:space="0" w:color="auto"/>
              <w:right w:val="single" w:sz="4" w:space="0" w:color="auto"/>
            </w:tcBorders>
            <w:hideMark/>
          </w:tcPr>
          <w:p w14:paraId="5FCF934C" w14:textId="77777777" w:rsidR="00B607F4" w:rsidRDefault="00405F24">
            <w:pPr>
              <w:spacing w:line="276" w:lineRule="auto"/>
              <w:ind w:right="113"/>
              <w:contextualSpacing/>
              <w:rPr>
                <w:color w:val="000000"/>
                <w:sz w:val="22"/>
                <w:szCs w:val="22"/>
              </w:rPr>
            </w:pPr>
            <w:r>
              <w:rPr>
                <w:color w:val="000000"/>
                <w:sz w:val="22"/>
                <w:szCs w:val="22"/>
              </w:rPr>
              <w:lastRenderedPageBreak/>
              <w:t>2.2. Stiprinti motyvaciją mokytis – sieti mokymąsi visą gyvenimą su besimokančiųjų pasirinkimais, sukurti finansinės paramos sistemą. Plėtoti mokymosi visą gyvenimą ir darbo patirties integralumą, ypač per praktiką, stažuotes, profesinį mokymą, diegti pameistrystę; sukurti ir pradėti taikyti įvairiais mokymosi būdais įgytų kompetencijų vertinimo ir pripažinimo sistemą</w:t>
            </w:r>
          </w:p>
        </w:tc>
        <w:tc>
          <w:tcPr>
            <w:tcW w:w="5488" w:type="dxa"/>
            <w:tcBorders>
              <w:top w:val="single" w:sz="4" w:space="0" w:color="auto"/>
              <w:left w:val="single" w:sz="4" w:space="0" w:color="auto"/>
              <w:bottom w:val="single" w:sz="4" w:space="0" w:color="auto"/>
              <w:right w:val="single" w:sz="4" w:space="0" w:color="auto"/>
            </w:tcBorders>
            <w:hideMark/>
          </w:tcPr>
          <w:p w14:paraId="5FCF934D" w14:textId="77777777" w:rsidR="00B607F4" w:rsidRDefault="00405F24">
            <w:pPr>
              <w:spacing w:line="276" w:lineRule="auto"/>
              <w:ind w:right="113"/>
              <w:rPr>
                <w:color w:val="000000"/>
                <w:sz w:val="22"/>
                <w:szCs w:val="22"/>
              </w:rPr>
            </w:pPr>
            <w:r>
              <w:rPr>
                <w:color w:val="000000"/>
                <w:sz w:val="22"/>
                <w:szCs w:val="22"/>
              </w:rPr>
              <w:t>menkesnio išsilavinimo, mažesnes pajamas turintys kaimo gyventojai, ypač susidūrę su neigiama mokymosi patirtimi ar socializacijos problemomis, stokoja mokymosi motyvacijos</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CF934E" w14:textId="77777777" w:rsidR="00B607F4" w:rsidRDefault="00405F24">
            <w:pPr>
              <w:spacing w:line="276" w:lineRule="auto"/>
              <w:jc w:val="center"/>
              <w:rPr>
                <w:color w:val="000000"/>
                <w:sz w:val="22"/>
                <w:szCs w:val="22"/>
              </w:rPr>
            </w:pPr>
            <w:r>
              <w:rPr>
                <w:color w:val="000000"/>
                <w:sz w:val="22"/>
                <w:szCs w:val="22"/>
              </w:rPr>
              <w:t>grėsmė</w:t>
            </w:r>
          </w:p>
        </w:tc>
      </w:tr>
      <w:tr w:rsidR="00B607F4" w14:paraId="5FCF9353" w14:textId="77777777">
        <w:trPr>
          <w:trHeight w:val="23"/>
          <w:jc w:val="center"/>
        </w:trPr>
        <w:tc>
          <w:tcPr>
            <w:tcW w:w="8002" w:type="dxa"/>
            <w:vMerge/>
            <w:tcBorders>
              <w:top w:val="single" w:sz="4" w:space="0" w:color="auto"/>
              <w:left w:val="single" w:sz="4" w:space="0" w:color="auto"/>
              <w:bottom w:val="single" w:sz="4" w:space="0" w:color="auto"/>
              <w:right w:val="single" w:sz="4" w:space="0" w:color="auto"/>
            </w:tcBorders>
            <w:vAlign w:val="center"/>
            <w:hideMark/>
          </w:tcPr>
          <w:p w14:paraId="5FCF9350" w14:textId="77777777" w:rsidR="00B607F4" w:rsidRDefault="00B607F4">
            <w:pPr>
              <w:rPr>
                <w:color w:val="000000"/>
                <w:sz w:val="22"/>
                <w:szCs w:val="22"/>
              </w:rPr>
            </w:pPr>
          </w:p>
        </w:tc>
        <w:tc>
          <w:tcPr>
            <w:tcW w:w="5488" w:type="dxa"/>
            <w:tcBorders>
              <w:top w:val="single" w:sz="4" w:space="0" w:color="auto"/>
              <w:left w:val="single" w:sz="4" w:space="0" w:color="auto"/>
              <w:bottom w:val="single" w:sz="4" w:space="0" w:color="auto"/>
              <w:right w:val="single" w:sz="4" w:space="0" w:color="auto"/>
            </w:tcBorders>
            <w:hideMark/>
          </w:tcPr>
          <w:p w14:paraId="5FCF9351" w14:textId="77777777" w:rsidR="00B607F4" w:rsidRDefault="00405F24">
            <w:pPr>
              <w:spacing w:line="276" w:lineRule="auto"/>
              <w:ind w:right="113"/>
              <w:contextualSpacing/>
              <w:rPr>
                <w:color w:val="000000"/>
                <w:sz w:val="22"/>
                <w:szCs w:val="22"/>
              </w:rPr>
            </w:pPr>
            <w:r>
              <w:rPr>
                <w:color w:val="000000"/>
                <w:sz w:val="22"/>
                <w:szCs w:val="22"/>
              </w:rPr>
              <w:t>besimokantieji gali pasinaudoti ES švietimo programų, „Nordplus Adult“, Norvegijos ir Europos ekonominės erdvės finansinių mechanizmų ir kitų programų teikiamomis galimybėmis</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CF9352" w14:textId="77777777" w:rsidR="00B607F4" w:rsidRDefault="00405F24">
            <w:pPr>
              <w:spacing w:line="276" w:lineRule="auto"/>
              <w:jc w:val="center"/>
              <w:rPr>
                <w:color w:val="000000"/>
                <w:sz w:val="22"/>
                <w:szCs w:val="22"/>
              </w:rPr>
            </w:pPr>
            <w:r>
              <w:rPr>
                <w:color w:val="000000"/>
                <w:sz w:val="22"/>
                <w:szCs w:val="22"/>
              </w:rPr>
              <w:t>galimybė</w:t>
            </w:r>
          </w:p>
        </w:tc>
      </w:tr>
      <w:tr w:rsidR="00B607F4" w14:paraId="5FCF9357" w14:textId="77777777">
        <w:trPr>
          <w:trHeight w:val="23"/>
          <w:jc w:val="center"/>
        </w:trPr>
        <w:tc>
          <w:tcPr>
            <w:tcW w:w="8002" w:type="dxa"/>
            <w:vMerge/>
            <w:tcBorders>
              <w:top w:val="single" w:sz="4" w:space="0" w:color="auto"/>
              <w:left w:val="single" w:sz="4" w:space="0" w:color="auto"/>
              <w:bottom w:val="single" w:sz="4" w:space="0" w:color="auto"/>
              <w:right w:val="single" w:sz="4" w:space="0" w:color="auto"/>
            </w:tcBorders>
            <w:vAlign w:val="center"/>
            <w:hideMark/>
          </w:tcPr>
          <w:p w14:paraId="5FCF9354" w14:textId="77777777" w:rsidR="00B607F4" w:rsidRDefault="00B607F4">
            <w:pPr>
              <w:rPr>
                <w:color w:val="000000"/>
                <w:sz w:val="22"/>
                <w:szCs w:val="22"/>
              </w:rPr>
            </w:pPr>
          </w:p>
        </w:tc>
        <w:tc>
          <w:tcPr>
            <w:tcW w:w="5488" w:type="dxa"/>
            <w:tcBorders>
              <w:top w:val="single" w:sz="4" w:space="0" w:color="auto"/>
              <w:left w:val="single" w:sz="4" w:space="0" w:color="auto"/>
              <w:bottom w:val="single" w:sz="4" w:space="0" w:color="auto"/>
              <w:right w:val="single" w:sz="4" w:space="0" w:color="auto"/>
            </w:tcBorders>
            <w:hideMark/>
          </w:tcPr>
          <w:p w14:paraId="5FCF9355" w14:textId="77777777" w:rsidR="00B607F4" w:rsidRDefault="00405F24">
            <w:pPr>
              <w:spacing w:line="276" w:lineRule="auto"/>
              <w:ind w:right="113"/>
              <w:rPr>
                <w:rFonts w:eastAsia="TT20E2o00"/>
                <w:color w:val="000000"/>
                <w:sz w:val="22"/>
                <w:szCs w:val="22"/>
              </w:rPr>
            </w:pPr>
            <w:r>
              <w:rPr>
                <w:rFonts w:eastAsia="TT20E2o00"/>
                <w:color w:val="000000"/>
                <w:sz w:val="22"/>
                <w:szCs w:val="22"/>
              </w:rPr>
              <w:t>mokymosi procese (ypač regionuose) dalyvauja tik iki 30 procentų suaugusiųjų: nėra iniciatyvos, poreikio ar nesudarytos sąlygos, stokojama motyvacijos</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CF9356" w14:textId="77777777" w:rsidR="00B607F4" w:rsidRDefault="00405F24">
            <w:pPr>
              <w:spacing w:line="276" w:lineRule="auto"/>
              <w:jc w:val="center"/>
              <w:rPr>
                <w:color w:val="000000"/>
                <w:sz w:val="22"/>
                <w:szCs w:val="22"/>
              </w:rPr>
            </w:pPr>
            <w:r>
              <w:rPr>
                <w:color w:val="000000"/>
                <w:sz w:val="22"/>
                <w:szCs w:val="22"/>
              </w:rPr>
              <w:t>silpnybė</w:t>
            </w:r>
          </w:p>
        </w:tc>
      </w:tr>
      <w:tr w:rsidR="00B607F4" w14:paraId="5FCF935B" w14:textId="77777777">
        <w:trPr>
          <w:trHeight w:val="23"/>
          <w:jc w:val="center"/>
        </w:trPr>
        <w:tc>
          <w:tcPr>
            <w:tcW w:w="8002" w:type="dxa"/>
            <w:vMerge/>
            <w:tcBorders>
              <w:top w:val="single" w:sz="4" w:space="0" w:color="auto"/>
              <w:left w:val="single" w:sz="4" w:space="0" w:color="auto"/>
              <w:bottom w:val="single" w:sz="4" w:space="0" w:color="auto"/>
              <w:right w:val="single" w:sz="4" w:space="0" w:color="auto"/>
            </w:tcBorders>
            <w:vAlign w:val="center"/>
            <w:hideMark/>
          </w:tcPr>
          <w:p w14:paraId="5FCF9358" w14:textId="77777777" w:rsidR="00B607F4" w:rsidRDefault="00B607F4">
            <w:pPr>
              <w:rPr>
                <w:color w:val="000000"/>
                <w:sz w:val="22"/>
                <w:szCs w:val="22"/>
              </w:rPr>
            </w:pPr>
          </w:p>
        </w:tc>
        <w:tc>
          <w:tcPr>
            <w:tcW w:w="5488" w:type="dxa"/>
            <w:tcBorders>
              <w:top w:val="single" w:sz="4" w:space="0" w:color="auto"/>
              <w:left w:val="single" w:sz="4" w:space="0" w:color="auto"/>
              <w:bottom w:val="single" w:sz="4" w:space="0" w:color="auto"/>
              <w:right w:val="single" w:sz="4" w:space="0" w:color="auto"/>
            </w:tcBorders>
            <w:hideMark/>
          </w:tcPr>
          <w:p w14:paraId="5FCF9359" w14:textId="77777777" w:rsidR="00B607F4" w:rsidRDefault="00405F24">
            <w:pPr>
              <w:spacing w:line="276" w:lineRule="auto"/>
              <w:ind w:right="113"/>
              <w:contextualSpacing/>
              <w:rPr>
                <w:color w:val="000000"/>
                <w:spacing w:val="-2"/>
                <w:sz w:val="22"/>
                <w:szCs w:val="22"/>
              </w:rPr>
            </w:pPr>
            <w:r>
              <w:rPr>
                <w:color w:val="000000"/>
                <w:sz w:val="22"/>
                <w:szCs w:val="22"/>
              </w:rPr>
              <w:t>didinama suaugusiųjų motyvacija mokytis – mokymasis visą gyvenimą siejamas su besimokančiųjų pasirinkimais, sukuriama finansinės paramos sistema, skatinanti dalyvauti mokymosi visą gyvenimą veiklose</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CF935A" w14:textId="77777777" w:rsidR="00B607F4" w:rsidRDefault="00405F24">
            <w:pPr>
              <w:spacing w:line="276" w:lineRule="auto"/>
              <w:jc w:val="center"/>
              <w:rPr>
                <w:color w:val="000000"/>
                <w:sz w:val="22"/>
                <w:szCs w:val="22"/>
              </w:rPr>
            </w:pPr>
            <w:r>
              <w:rPr>
                <w:color w:val="000000"/>
                <w:sz w:val="22"/>
                <w:szCs w:val="22"/>
              </w:rPr>
              <w:t>stiprybė</w:t>
            </w:r>
          </w:p>
        </w:tc>
      </w:tr>
      <w:tr w:rsidR="00B607F4" w14:paraId="5FCF935F" w14:textId="77777777">
        <w:trPr>
          <w:trHeight w:val="23"/>
          <w:jc w:val="center"/>
        </w:trPr>
        <w:tc>
          <w:tcPr>
            <w:tcW w:w="2514" w:type="dxa"/>
            <w:vMerge w:val="restart"/>
            <w:tcBorders>
              <w:top w:val="single" w:sz="4" w:space="0" w:color="auto"/>
              <w:left w:val="single" w:sz="4" w:space="0" w:color="auto"/>
              <w:bottom w:val="single" w:sz="4" w:space="0" w:color="auto"/>
              <w:right w:val="single" w:sz="4" w:space="0" w:color="auto"/>
            </w:tcBorders>
            <w:hideMark/>
          </w:tcPr>
          <w:p w14:paraId="5FCF935C" w14:textId="77777777" w:rsidR="00B607F4" w:rsidRDefault="00405F24">
            <w:pPr>
              <w:spacing w:line="276" w:lineRule="auto"/>
              <w:ind w:right="113"/>
              <w:contextualSpacing/>
              <w:rPr>
                <w:color w:val="000000"/>
                <w:sz w:val="22"/>
                <w:szCs w:val="22"/>
              </w:rPr>
            </w:pPr>
            <w:r>
              <w:rPr>
                <w:color w:val="000000"/>
                <w:sz w:val="22"/>
                <w:szCs w:val="22"/>
              </w:rPr>
              <w:t>2.3. Sudaryti sąlygas asmenims savarankiškai valdyti karjerą – teikti individualizuotą įvairių formų pagalbą, organizuoti socialinę reklamą realioje ir virtualioje aplinkoje, įskaitant pasiūlos ekspertinius vertinimus ir galimybes; inicijuoti ir remti kokybišką studijų programų, profesijų populiarinimą, bendrųjų ir tęstinio profesinio mokymo kompetencijų suaugusiesiems plėtrą aukštosiose mokyklose, profesinio mokymo įstaigose</w:t>
            </w:r>
          </w:p>
        </w:tc>
        <w:tc>
          <w:tcPr>
            <w:tcW w:w="5488" w:type="dxa"/>
            <w:tcBorders>
              <w:top w:val="single" w:sz="4" w:space="0" w:color="auto"/>
              <w:left w:val="single" w:sz="4" w:space="0" w:color="auto"/>
              <w:bottom w:val="single" w:sz="4" w:space="0" w:color="auto"/>
              <w:right w:val="single" w:sz="4" w:space="0" w:color="auto"/>
            </w:tcBorders>
            <w:hideMark/>
          </w:tcPr>
          <w:p w14:paraId="5FCF935D" w14:textId="77777777" w:rsidR="00B607F4" w:rsidRDefault="00405F24">
            <w:pPr>
              <w:spacing w:line="276" w:lineRule="auto"/>
              <w:ind w:right="113"/>
              <w:contextualSpacing/>
              <w:rPr>
                <w:color w:val="000000"/>
                <w:spacing w:val="-2"/>
                <w:sz w:val="22"/>
                <w:szCs w:val="22"/>
              </w:rPr>
            </w:pPr>
            <w:r>
              <w:rPr>
                <w:color w:val="000000"/>
                <w:sz w:val="22"/>
                <w:szCs w:val="22"/>
              </w:rPr>
              <w:t>trūksta informacijos apie praktinius suaugusiųjų švietimo aspektus, kvalifikacijos tobulinimo renginių</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CF935E" w14:textId="77777777" w:rsidR="00B607F4" w:rsidRDefault="00405F24">
            <w:pPr>
              <w:spacing w:line="276" w:lineRule="auto"/>
              <w:jc w:val="center"/>
              <w:rPr>
                <w:color w:val="000000"/>
                <w:sz w:val="22"/>
                <w:szCs w:val="22"/>
              </w:rPr>
            </w:pPr>
            <w:r>
              <w:rPr>
                <w:color w:val="000000"/>
                <w:sz w:val="22"/>
                <w:szCs w:val="22"/>
              </w:rPr>
              <w:t>silpnybė</w:t>
            </w:r>
          </w:p>
        </w:tc>
      </w:tr>
      <w:tr w:rsidR="00B607F4" w14:paraId="5FCF9363" w14:textId="77777777">
        <w:trPr>
          <w:trHeight w:val="23"/>
          <w:jc w:val="center"/>
        </w:trPr>
        <w:tc>
          <w:tcPr>
            <w:tcW w:w="8002" w:type="dxa"/>
            <w:vMerge/>
            <w:tcBorders>
              <w:top w:val="single" w:sz="4" w:space="0" w:color="auto"/>
              <w:left w:val="single" w:sz="4" w:space="0" w:color="auto"/>
              <w:bottom w:val="single" w:sz="4" w:space="0" w:color="auto"/>
              <w:right w:val="single" w:sz="4" w:space="0" w:color="auto"/>
            </w:tcBorders>
            <w:vAlign w:val="center"/>
            <w:hideMark/>
          </w:tcPr>
          <w:p w14:paraId="5FCF9360" w14:textId="77777777" w:rsidR="00B607F4" w:rsidRDefault="00B607F4">
            <w:pPr>
              <w:rPr>
                <w:color w:val="000000"/>
                <w:sz w:val="22"/>
                <w:szCs w:val="22"/>
              </w:rPr>
            </w:pPr>
          </w:p>
        </w:tc>
        <w:tc>
          <w:tcPr>
            <w:tcW w:w="5488" w:type="dxa"/>
            <w:tcBorders>
              <w:top w:val="single" w:sz="4" w:space="0" w:color="auto"/>
              <w:left w:val="single" w:sz="4" w:space="0" w:color="auto"/>
              <w:bottom w:val="single" w:sz="4" w:space="0" w:color="auto"/>
              <w:right w:val="single" w:sz="4" w:space="0" w:color="auto"/>
            </w:tcBorders>
            <w:hideMark/>
          </w:tcPr>
          <w:p w14:paraId="5FCF9361" w14:textId="77777777" w:rsidR="00B607F4" w:rsidRDefault="00405F24">
            <w:pPr>
              <w:spacing w:line="276" w:lineRule="auto"/>
              <w:ind w:right="113"/>
              <w:contextualSpacing/>
              <w:rPr>
                <w:color w:val="000000"/>
                <w:sz w:val="22"/>
                <w:szCs w:val="22"/>
              </w:rPr>
            </w:pPr>
            <w:r>
              <w:rPr>
                <w:color w:val="000000"/>
                <w:sz w:val="22"/>
                <w:szCs w:val="22"/>
              </w:rPr>
              <w:t>ES struktūrinių fondų parama teikiama kokybiškoms karjeros paslaugoms teikti realioje ir virtualioje aplinkoje</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CF9362" w14:textId="77777777" w:rsidR="00B607F4" w:rsidRDefault="00405F24">
            <w:pPr>
              <w:spacing w:line="276" w:lineRule="auto"/>
              <w:jc w:val="center"/>
              <w:rPr>
                <w:color w:val="000000"/>
                <w:sz w:val="22"/>
                <w:szCs w:val="22"/>
              </w:rPr>
            </w:pPr>
            <w:r>
              <w:rPr>
                <w:color w:val="000000"/>
                <w:sz w:val="22"/>
                <w:szCs w:val="22"/>
              </w:rPr>
              <w:t>stiprybė</w:t>
            </w:r>
          </w:p>
        </w:tc>
      </w:tr>
      <w:tr w:rsidR="00B607F4" w14:paraId="5FCF9367" w14:textId="77777777">
        <w:trPr>
          <w:trHeight w:val="23"/>
          <w:jc w:val="center"/>
        </w:trPr>
        <w:tc>
          <w:tcPr>
            <w:tcW w:w="8002" w:type="dxa"/>
            <w:vMerge/>
            <w:tcBorders>
              <w:top w:val="single" w:sz="4" w:space="0" w:color="auto"/>
              <w:left w:val="single" w:sz="4" w:space="0" w:color="auto"/>
              <w:bottom w:val="single" w:sz="4" w:space="0" w:color="auto"/>
              <w:right w:val="single" w:sz="4" w:space="0" w:color="auto"/>
            </w:tcBorders>
            <w:vAlign w:val="center"/>
            <w:hideMark/>
          </w:tcPr>
          <w:p w14:paraId="5FCF9364" w14:textId="77777777" w:rsidR="00B607F4" w:rsidRDefault="00B607F4">
            <w:pPr>
              <w:rPr>
                <w:color w:val="000000"/>
                <w:sz w:val="22"/>
                <w:szCs w:val="22"/>
              </w:rPr>
            </w:pPr>
          </w:p>
        </w:tc>
        <w:tc>
          <w:tcPr>
            <w:tcW w:w="5488" w:type="dxa"/>
            <w:tcBorders>
              <w:top w:val="single" w:sz="4" w:space="0" w:color="auto"/>
              <w:left w:val="single" w:sz="4" w:space="0" w:color="auto"/>
              <w:bottom w:val="single" w:sz="4" w:space="0" w:color="auto"/>
              <w:right w:val="single" w:sz="4" w:space="0" w:color="auto"/>
            </w:tcBorders>
            <w:hideMark/>
          </w:tcPr>
          <w:p w14:paraId="5FCF9365" w14:textId="77777777" w:rsidR="00B607F4" w:rsidRDefault="00405F24">
            <w:pPr>
              <w:spacing w:line="276" w:lineRule="auto"/>
              <w:ind w:right="113"/>
              <w:contextualSpacing/>
              <w:rPr>
                <w:color w:val="000000"/>
                <w:sz w:val="22"/>
                <w:szCs w:val="22"/>
              </w:rPr>
            </w:pPr>
            <w:r>
              <w:rPr>
                <w:color w:val="000000"/>
                <w:sz w:val="22"/>
                <w:szCs w:val="22"/>
              </w:rPr>
              <w:t>asmeniui sudaromos sąlygos įgyti kompetencijų valdyti asmeninę karjerą, kurios leidžia sėkmingai rinktis ir pasinaudoti mokymosi, studijų ir darbo galimybėmis</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CF9366" w14:textId="77777777" w:rsidR="00B607F4" w:rsidRDefault="00405F24">
            <w:pPr>
              <w:spacing w:line="276" w:lineRule="auto"/>
              <w:jc w:val="center"/>
              <w:rPr>
                <w:color w:val="000000"/>
                <w:sz w:val="22"/>
                <w:szCs w:val="22"/>
              </w:rPr>
            </w:pPr>
            <w:r>
              <w:rPr>
                <w:color w:val="000000"/>
                <w:sz w:val="22"/>
                <w:szCs w:val="22"/>
              </w:rPr>
              <w:t>galimybė</w:t>
            </w:r>
          </w:p>
        </w:tc>
      </w:tr>
      <w:tr w:rsidR="00B607F4" w14:paraId="5FCF936B" w14:textId="77777777">
        <w:trPr>
          <w:trHeight w:val="23"/>
          <w:jc w:val="center"/>
        </w:trPr>
        <w:tc>
          <w:tcPr>
            <w:tcW w:w="8002" w:type="dxa"/>
            <w:vMerge/>
            <w:tcBorders>
              <w:top w:val="single" w:sz="4" w:space="0" w:color="auto"/>
              <w:left w:val="single" w:sz="4" w:space="0" w:color="auto"/>
              <w:bottom w:val="single" w:sz="4" w:space="0" w:color="auto"/>
              <w:right w:val="single" w:sz="4" w:space="0" w:color="auto"/>
            </w:tcBorders>
            <w:vAlign w:val="center"/>
            <w:hideMark/>
          </w:tcPr>
          <w:p w14:paraId="5FCF9368" w14:textId="77777777" w:rsidR="00B607F4" w:rsidRDefault="00B607F4">
            <w:pPr>
              <w:rPr>
                <w:color w:val="000000"/>
                <w:sz w:val="22"/>
                <w:szCs w:val="22"/>
              </w:rPr>
            </w:pPr>
          </w:p>
        </w:tc>
        <w:tc>
          <w:tcPr>
            <w:tcW w:w="5488" w:type="dxa"/>
            <w:tcBorders>
              <w:top w:val="single" w:sz="4" w:space="0" w:color="auto"/>
              <w:left w:val="single" w:sz="4" w:space="0" w:color="auto"/>
              <w:bottom w:val="single" w:sz="4" w:space="0" w:color="auto"/>
              <w:right w:val="single" w:sz="4" w:space="0" w:color="auto"/>
            </w:tcBorders>
            <w:hideMark/>
          </w:tcPr>
          <w:p w14:paraId="5FCF9369" w14:textId="77777777" w:rsidR="00B607F4" w:rsidRDefault="00405F24">
            <w:pPr>
              <w:spacing w:line="276" w:lineRule="auto"/>
              <w:ind w:right="113"/>
              <w:rPr>
                <w:rFonts w:eastAsia="Calibri"/>
                <w:color w:val="000000"/>
                <w:sz w:val="22"/>
                <w:szCs w:val="22"/>
              </w:rPr>
            </w:pPr>
            <w:r>
              <w:rPr>
                <w:rFonts w:eastAsia="Calibri"/>
                <w:color w:val="000000"/>
                <w:sz w:val="22"/>
                <w:szCs w:val="22"/>
              </w:rPr>
              <w:t>ugdymas karjerai sutapatinamas su visomis orientavimo (karjeros) paslaugomis</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CF936A" w14:textId="77777777" w:rsidR="00B607F4" w:rsidRDefault="00405F24">
            <w:pPr>
              <w:spacing w:line="276" w:lineRule="auto"/>
              <w:jc w:val="center"/>
              <w:rPr>
                <w:color w:val="000000"/>
                <w:sz w:val="22"/>
                <w:szCs w:val="22"/>
              </w:rPr>
            </w:pPr>
            <w:r>
              <w:rPr>
                <w:color w:val="000000"/>
                <w:sz w:val="22"/>
                <w:szCs w:val="22"/>
              </w:rPr>
              <w:t>grėsmė</w:t>
            </w:r>
          </w:p>
        </w:tc>
      </w:tr>
      <w:tr w:rsidR="00B607F4" w14:paraId="5FCF936F" w14:textId="77777777">
        <w:trPr>
          <w:trHeight w:val="23"/>
          <w:jc w:val="center"/>
        </w:trPr>
        <w:tc>
          <w:tcPr>
            <w:tcW w:w="2514" w:type="dxa"/>
            <w:vMerge w:val="restart"/>
            <w:tcBorders>
              <w:top w:val="single" w:sz="4" w:space="0" w:color="auto"/>
              <w:left w:val="single" w:sz="4" w:space="0" w:color="auto"/>
              <w:bottom w:val="single" w:sz="4" w:space="0" w:color="auto"/>
              <w:right w:val="single" w:sz="4" w:space="0" w:color="auto"/>
            </w:tcBorders>
            <w:hideMark/>
          </w:tcPr>
          <w:p w14:paraId="5FCF936C" w14:textId="77777777" w:rsidR="00B607F4" w:rsidRDefault="00405F24">
            <w:pPr>
              <w:spacing w:line="276" w:lineRule="auto"/>
              <w:ind w:right="113"/>
              <w:contextualSpacing/>
              <w:rPr>
                <w:color w:val="000000"/>
                <w:sz w:val="22"/>
                <w:szCs w:val="22"/>
              </w:rPr>
            </w:pPr>
            <w:r>
              <w:rPr>
                <w:color w:val="000000"/>
                <w:sz w:val="22"/>
                <w:szCs w:val="22"/>
              </w:rPr>
              <w:lastRenderedPageBreak/>
              <w:t>2.4. Tobulinti andragoginių kompetencijų ir pedagoginių psichologinių žinių įgijimą įgyvendinant neformaliojo suaugusiųjų švietimo programas</w:t>
            </w:r>
          </w:p>
        </w:tc>
        <w:tc>
          <w:tcPr>
            <w:tcW w:w="5488" w:type="dxa"/>
            <w:tcBorders>
              <w:top w:val="single" w:sz="4" w:space="0" w:color="auto"/>
              <w:left w:val="single" w:sz="4" w:space="0" w:color="auto"/>
              <w:bottom w:val="single" w:sz="4" w:space="0" w:color="auto"/>
              <w:right w:val="single" w:sz="4" w:space="0" w:color="auto"/>
            </w:tcBorders>
            <w:hideMark/>
          </w:tcPr>
          <w:p w14:paraId="5FCF936D" w14:textId="77777777" w:rsidR="00B607F4" w:rsidRDefault="00405F24">
            <w:pPr>
              <w:spacing w:line="276" w:lineRule="auto"/>
              <w:ind w:right="113"/>
              <w:contextualSpacing/>
              <w:rPr>
                <w:color w:val="000000"/>
                <w:spacing w:val="-2"/>
                <w:sz w:val="22"/>
                <w:szCs w:val="22"/>
              </w:rPr>
            </w:pPr>
            <w:r>
              <w:rPr>
                <w:color w:val="000000"/>
                <w:sz w:val="22"/>
                <w:szCs w:val="22"/>
              </w:rPr>
              <w:t xml:space="preserve">tobulinamas andragoginių kompetencijų, taip pat pedagoginių psichologinių žinių, įgijimas </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CF936E" w14:textId="77777777" w:rsidR="00B607F4" w:rsidRDefault="00405F24">
            <w:pPr>
              <w:spacing w:line="276" w:lineRule="auto"/>
              <w:jc w:val="center"/>
              <w:rPr>
                <w:color w:val="000000"/>
                <w:sz w:val="22"/>
                <w:szCs w:val="22"/>
              </w:rPr>
            </w:pPr>
            <w:r>
              <w:rPr>
                <w:color w:val="000000"/>
                <w:sz w:val="22"/>
                <w:szCs w:val="22"/>
              </w:rPr>
              <w:t>stiprybė</w:t>
            </w:r>
          </w:p>
        </w:tc>
      </w:tr>
      <w:tr w:rsidR="00B607F4" w14:paraId="5FCF9373" w14:textId="77777777">
        <w:trPr>
          <w:trHeight w:val="23"/>
          <w:jc w:val="center"/>
        </w:trPr>
        <w:tc>
          <w:tcPr>
            <w:tcW w:w="8002" w:type="dxa"/>
            <w:vMerge/>
            <w:tcBorders>
              <w:top w:val="single" w:sz="4" w:space="0" w:color="auto"/>
              <w:left w:val="single" w:sz="4" w:space="0" w:color="auto"/>
              <w:bottom w:val="single" w:sz="4" w:space="0" w:color="auto"/>
              <w:right w:val="single" w:sz="4" w:space="0" w:color="auto"/>
            </w:tcBorders>
            <w:vAlign w:val="center"/>
            <w:hideMark/>
          </w:tcPr>
          <w:p w14:paraId="5FCF9370" w14:textId="77777777" w:rsidR="00B607F4" w:rsidRDefault="00B607F4">
            <w:pPr>
              <w:rPr>
                <w:color w:val="000000"/>
                <w:sz w:val="22"/>
                <w:szCs w:val="22"/>
              </w:rPr>
            </w:pPr>
          </w:p>
        </w:tc>
        <w:tc>
          <w:tcPr>
            <w:tcW w:w="5488" w:type="dxa"/>
            <w:tcBorders>
              <w:top w:val="single" w:sz="4" w:space="0" w:color="auto"/>
              <w:left w:val="single" w:sz="4" w:space="0" w:color="auto"/>
              <w:bottom w:val="single" w:sz="4" w:space="0" w:color="auto"/>
              <w:right w:val="single" w:sz="4" w:space="0" w:color="auto"/>
            </w:tcBorders>
            <w:hideMark/>
          </w:tcPr>
          <w:p w14:paraId="5FCF9371" w14:textId="77777777" w:rsidR="00B607F4" w:rsidRDefault="00405F24">
            <w:pPr>
              <w:spacing w:line="276" w:lineRule="auto"/>
              <w:ind w:right="113"/>
              <w:rPr>
                <w:rFonts w:eastAsia="Calibri"/>
                <w:color w:val="000000"/>
                <w:sz w:val="22"/>
                <w:szCs w:val="22"/>
              </w:rPr>
            </w:pPr>
            <w:r>
              <w:rPr>
                <w:rFonts w:eastAsia="Calibri"/>
                <w:color w:val="000000"/>
                <w:sz w:val="22"/>
                <w:szCs w:val="22"/>
              </w:rPr>
              <w:t>Lietuvos Respublikos švietimo ir mokslo ministerija 2013 metais patvirtino Andragogo profesinės veiklos aprašą</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CF9372" w14:textId="77777777" w:rsidR="00B607F4" w:rsidRDefault="00405F24">
            <w:pPr>
              <w:spacing w:line="276" w:lineRule="auto"/>
              <w:jc w:val="center"/>
              <w:rPr>
                <w:color w:val="000000"/>
                <w:sz w:val="22"/>
                <w:szCs w:val="22"/>
              </w:rPr>
            </w:pPr>
            <w:r>
              <w:rPr>
                <w:color w:val="000000"/>
                <w:sz w:val="22"/>
                <w:szCs w:val="22"/>
              </w:rPr>
              <w:t>galimybė</w:t>
            </w:r>
          </w:p>
        </w:tc>
      </w:tr>
      <w:tr w:rsidR="00B607F4" w14:paraId="5FCF9377" w14:textId="77777777">
        <w:trPr>
          <w:trHeight w:val="23"/>
          <w:jc w:val="center"/>
        </w:trPr>
        <w:tc>
          <w:tcPr>
            <w:tcW w:w="8002" w:type="dxa"/>
            <w:vMerge/>
            <w:tcBorders>
              <w:top w:val="single" w:sz="4" w:space="0" w:color="auto"/>
              <w:left w:val="single" w:sz="4" w:space="0" w:color="auto"/>
              <w:bottom w:val="single" w:sz="4" w:space="0" w:color="auto"/>
              <w:right w:val="single" w:sz="4" w:space="0" w:color="auto"/>
            </w:tcBorders>
            <w:vAlign w:val="center"/>
            <w:hideMark/>
          </w:tcPr>
          <w:p w14:paraId="5FCF9374" w14:textId="77777777" w:rsidR="00B607F4" w:rsidRDefault="00B607F4">
            <w:pPr>
              <w:rPr>
                <w:color w:val="000000"/>
                <w:sz w:val="22"/>
                <w:szCs w:val="22"/>
              </w:rPr>
            </w:pPr>
          </w:p>
        </w:tc>
        <w:tc>
          <w:tcPr>
            <w:tcW w:w="5488" w:type="dxa"/>
            <w:tcBorders>
              <w:top w:val="single" w:sz="4" w:space="0" w:color="auto"/>
              <w:left w:val="single" w:sz="4" w:space="0" w:color="auto"/>
              <w:bottom w:val="single" w:sz="4" w:space="0" w:color="auto"/>
              <w:right w:val="single" w:sz="4" w:space="0" w:color="auto"/>
            </w:tcBorders>
            <w:hideMark/>
          </w:tcPr>
          <w:p w14:paraId="5FCF9375" w14:textId="77777777" w:rsidR="00B607F4" w:rsidRDefault="00405F24">
            <w:pPr>
              <w:spacing w:line="276" w:lineRule="auto"/>
              <w:ind w:right="113"/>
              <w:contextualSpacing/>
              <w:rPr>
                <w:color w:val="000000"/>
                <w:spacing w:val="-2"/>
                <w:sz w:val="22"/>
                <w:szCs w:val="22"/>
              </w:rPr>
            </w:pPr>
            <w:r>
              <w:rPr>
                <w:color w:val="000000"/>
                <w:spacing w:val="-2"/>
                <w:sz w:val="22"/>
                <w:szCs w:val="22"/>
              </w:rPr>
              <w:t>darbo rinkoje esantys asmenys, vadovaujantys praktikai, turi per mažai andragoginių kompetencijų</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CF9376" w14:textId="77777777" w:rsidR="00B607F4" w:rsidRDefault="00405F24">
            <w:pPr>
              <w:spacing w:line="276" w:lineRule="auto"/>
              <w:jc w:val="center"/>
              <w:rPr>
                <w:color w:val="000000"/>
                <w:sz w:val="22"/>
                <w:szCs w:val="22"/>
              </w:rPr>
            </w:pPr>
            <w:r>
              <w:rPr>
                <w:color w:val="000000"/>
                <w:sz w:val="22"/>
                <w:szCs w:val="22"/>
              </w:rPr>
              <w:t>silpnybė</w:t>
            </w:r>
          </w:p>
        </w:tc>
      </w:tr>
      <w:tr w:rsidR="00B607F4" w14:paraId="5FCF937B" w14:textId="77777777">
        <w:trPr>
          <w:trHeight w:val="23"/>
          <w:jc w:val="center"/>
        </w:trPr>
        <w:tc>
          <w:tcPr>
            <w:tcW w:w="8002" w:type="dxa"/>
            <w:vMerge/>
            <w:tcBorders>
              <w:top w:val="single" w:sz="4" w:space="0" w:color="auto"/>
              <w:left w:val="single" w:sz="4" w:space="0" w:color="auto"/>
              <w:bottom w:val="single" w:sz="4" w:space="0" w:color="auto"/>
              <w:right w:val="single" w:sz="4" w:space="0" w:color="auto"/>
            </w:tcBorders>
            <w:vAlign w:val="center"/>
            <w:hideMark/>
          </w:tcPr>
          <w:p w14:paraId="5FCF9378" w14:textId="77777777" w:rsidR="00B607F4" w:rsidRDefault="00B607F4">
            <w:pPr>
              <w:rPr>
                <w:color w:val="000000"/>
                <w:sz w:val="22"/>
                <w:szCs w:val="22"/>
              </w:rPr>
            </w:pPr>
          </w:p>
        </w:tc>
        <w:tc>
          <w:tcPr>
            <w:tcW w:w="5488" w:type="dxa"/>
            <w:tcBorders>
              <w:top w:val="single" w:sz="4" w:space="0" w:color="auto"/>
              <w:left w:val="single" w:sz="4" w:space="0" w:color="auto"/>
              <w:bottom w:val="single" w:sz="4" w:space="0" w:color="auto"/>
              <w:right w:val="single" w:sz="4" w:space="0" w:color="auto"/>
            </w:tcBorders>
            <w:hideMark/>
          </w:tcPr>
          <w:p w14:paraId="5FCF9379" w14:textId="77777777" w:rsidR="00B607F4" w:rsidRDefault="00405F24">
            <w:pPr>
              <w:spacing w:line="276" w:lineRule="auto"/>
              <w:ind w:right="113"/>
              <w:rPr>
                <w:rFonts w:eastAsia="Calibri"/>
                <w:color w:val="000000"/>
                <w:sz w:val="22"/>
                <w:szCs w:val="22"/>
              </w:rPr>
            </w:pPr>
            <w:r>
              <w:rPr>
                <w:rFonts w:eastAsia="Calibri"/>
                <w:color w:val="000000"/>
                <w:sz w:val="22"/>
                <w:szCs w:val="22"/>
              </w:rPr>
              <w:t>didėjant suaugusiųjų švietimo poreikiui, gali stigti andragogų</w:t>
            </w:r>
          </w:p>
        </w:tc>
        <w:tc>
          <w:tcPr>
            <w:tcW w:w="127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14:paraId="5FCF937A" w14:textId="77777777" w:rsidR="00B607F4" w:rsidRDefault="00405F24">
            <w:pPr>
              <w:spacing w:line="276" w:lineRule="auto"/>
              <w:jc w:val="center"/>
              <w:rPr>
                <w:color w:val="000000"/>
                <w:sz w:val="22"/>
                <w:szCs w:val="22"/>
              </w:rPr>
            </w:pPr>
            <w:r>
              <w:rPr>
                <w:color w:val="000000"/>
                <w:sz w:val="22"/>
                <w:szCs w:val="22"/>
              </w:rPr>
              <w:t>grėsmė</w:t>
            </w:r>
          </w:p>
        </w:tc>
      </w:tr>
    </w:tbl>
    <w:p w14:paraId="5FCF937C" w14:textId="77777777" w:rsidR="00B607F4" w:rsidRDefault="00B607F4">
      <w:pPr>
        <w:tabs>
          <w:tab w:val="left" w:pos="1134"/>
          <w:tab w:val="left" w:pos="7513"/>
        </w:tabs>
        <w:jc w:val="both"/>
        <w:rPr>
          <w:color w:val="000000"/>
          <w:szCs w:val="24"/>
          <w:lang w:eastAsia="lt-LT"/>
        </w:rPr>
      </w:pPr>
    </w:p>
    <w:p w14:paraId="5FCF937D" w14:textId="77777777" w:rsidR="00B607F4" w:rsidRDefault="00405F24">
      <w:pPr>
        <w:tabs>
          <w:tab w:val="left" w:pos="426"/>
          <w:tab w:val="left" w:pos="1440"/>
        </w:tabs>
        <w:jc w:val="center"/>
        <w:rPr>
          <w:b/>
          <w:bCs/>
          <w:color w:val="000000"/>
          <w:spacing w:val="-2"/>
          <w:szCs w:val="24"/>
          <w:lang w:eastAsia="lt-LT"/>
        </w:rPr>
      </w:pPr>
      <w:r>
        <w:rPr>
          <w:b/>
          <w:bCs/>
          <w:color w:val="000000"/>
          <w:spacing w:val="-2"/>
          <w:szCs w:val="24"/>
          <w:lang w:eastAsia="lt-LT"/>
        </w:rPr>
        <w:t>III SKYRIUS</w:t>
      </w:r>
    </w:p>
    <w:p w14:paraId="5FCF937E" w14:textId="77777777" w:rsidR="00B607F4" w:rsidRDefault="00405F24">
      <w:pPr>
        <w:tabs>
          <w:tab w:val="left" w:pos="426"/>
          <w:tab w:val="left" w:pos="1440"/>
        </w:tabs>
        <w:jc w:val="center"/>
        <w:rPr>
          <w:b/>
          <w:bCs/>
          <w:color w:val="000000"/>
          <w:spacing w:val="-2"/>
          <w:szCs w:val="24"/>
          <w:lang w:eastAsia="lt-LT"/>
        </w:rPr>
      </w:pPr>
      <w:r>
        <w:rPr>
          <w:b/>
          <w:bCs/>
          <w:color w:val="000000"/>
          <w:spacing w:val="-2"/>
          <w:szCs w:val="24"/>
          <w:lang w:eastAsia="lt-LT"/>
        </w:rPr>
        <w:t>PROGRAMOS ĮGYVENDINIMAS</w:t>
      </w:r>
    </w:p>
    <w:p w14:paraId="5FCF937F" w14:textId="77777777" w:rsidR="00B607F4" w:rsidRDefault="00B607F4">
      <w:pPr>
        <w:tabs>
          <w:tab w:val="left" w:pos="426"/>
          <w:tab w:val="left" w:pos="1440"/>
        </w:tabs>
        <w:ind w:left="284" w:hanging="284"/>
        <w:jc w:val="center"/>
        <w:rPr>
          <w:b/>
          <w:bCs/>
          <w:color w:val="000000"/>
          <w:spacing w:val="-2"/>
          <w:szCs w:val="24"/>
          <w:lang w:eastAsia="lt-LT"/>
        </w:rPr>
      </w:pPr>
    </w:p>
    <w:p w14:paraId="5FCF9380" w14:textId="77777777" w:rsidR="00B607F4" w:rsidRDefault="00405F24">
      <w:pPr>
        <w:spacing w:line="360" w:lineRule="atLeast"/>
        <w:ind w:firstLine="720"/>
        <w:jc w:val="both"/>
        <w:rPr>
          <w:strike/>
          <w:color w:val="000000"/>
          <w:szCs w:val="24"/>
          <w:lang w:eastAsia="lt-LT"/>
        </w:rPr>
      </w:pPr>
      <w:r>
        <w:rPr>
          <w:color w:val="000000"/>
          <w:szCs w:val="24"/>
          <w:lang w:eastAsia="lt-LT"/>
        </w:rPr>
        <w:t xml:space="preserve">13. Švietimo tobulinimas apima horizontalius procesus, vykstančius keliose valstybės valdymo srityse. Įgyvendinant Programą dalyvaus Lietuvos Respublikos švietimo ir mokslo ministerija, Lietuvos Respublikos ūkio ministerija, Lietuvos Respublikos socialinės apsaugos ir darbo ministerija, Lietuvos Respublikos vidaus reikalų ministerija, kitos valstybės institucijos, taip pat rekomenduojama dalyvauti savivaldybėms. </w:t>
      </w:r>
    </w:p>
    <w:p w14:paraId="5FCF9381" w14:textId="77777777" w:rsidR="00B607F4" w:rsidRDefault="00405F24">
      <w:pPr>
        <w:spacing w:line="360" w:lineRule="atLeast"/>
        <w:ind w:firstLine="720"/>
        <w:jc w:val="both"/>
        <w:rPr>
          <w:color w:val="000000"/>
          <w:szCs w:val="24"/>
          <w:lang w:eastAsia="lt-LT"/>
        </w:rPr>
      </w:pPr>
      <w:r>
        <w:rPr>
          <w:color w:val="000000"/>
          <w:szCs w:val="24"/>
          <w:lang w:eastAsia="lt-LT"/>
        </w:rPr>
        <w:t xml:space="preserve">14. Programai įgyvendinti </w:t>
      </w:r>
      <w:r>
        <w:rPr>
          <w:bCs/>
          <w:color w:val="000000"/>
          <w:szCs w:val="24"/>
          <w:lang w:eastAsia="lt-LT"/>
        </w:rPr>
        <w:t>švietimo ir mokslo ministras, pasikonsultavęs su Lietuvos neformaliojo suaugusiųjų švietimo taryba ir kitais socialiniais partneriais, teisės aktų nustatyta tvarka tvirtina 3 metų trukmės Programos įgyvendinimo veiksmų planą.</w:t>
      </w:r>
      <w:r>
        <w:rPr>
          <w:color w:val="000000"/>
          <w:szCs w:val="24"/>
          <w:lang w:eastAsia="lt-LT"/>
        </w:rPr>
        <w:t xml:space="preserve"> Programos tikslų bus siekiama ir uždaviniai įgyvendinami vadovaujantis Nacionaline pažangos programa. Konkrečias priemones Programos tikslui pasiekti ir uždaviniams įgyvendinti kiekviena įgyvendinanti institucija numatys savo strateginiuose planuose.</w:t>
      </w:r>
    </w:p>
    <w:p w14:paraId="5FCF9382" w14:textId="77777777" w:rsidR="00B607F4" w:rsidRDefault="00405F24">
      <w:pPr>
        <w:spacing w:line="360" w:lineRule="atLeast"/>
        <w:ind w:firstLine="720"/>
        <w:jc w:val="both"/>
        <w:rPr>
          <w:color w:val="000000"/>
          <w:szCs w:val="24"/>
          <w:lang w:eastAsia="lt-LT"/>
        </w:rPr>
      </w:pPr>
      <w:r>
        <w:rPr>
          <w:color w:val="000000"/>
          <w:szCs w:val="24"/>
          <w:lang w:eastAsia="lt-LT"/>
        </w:rPr>
        <w:t xml:space="preserve">15. Programos įgyvendinimą ir stebėseną koordinuoja Lietuvos Respublikos švietimo ir mokslo ministerija. Savivaldybės taryba, </w:t>
      </w:r>
      <w:r>
        <w:rPr>
          <w:bCs/>
          <w:color w:val="000000"/>
          <w:szCs w:val="24"/>
          <w:lang w:eastAsia="lt-LT"/>
        </w:rPr>
        <w:t>atsižvelgdama į švietimo ir mokslo ministro patvirtintą Neformaliojo suaugusiųjų švietimo ir tęstinio mokymosi plėtros programos įgyvendinimo veiksmų planą ir savivaldybės gyventojų, darbdavių, kitų socialinių partnerių poreikius,</w:t>
      </w:r>
      <w:r>
        <w:rPr>
          <w:color w:val="000000"/>
          <w:szCs w:val="24"/>
          <w:lang w:eastAsia="lt-LT"/>
        </w:rPr>
        <w:t xml:space="preserve"> </w:t>
      </w:r>
      <w:r>
        <w:rPr>
          <w:bCs/>
          <w:color w:val="000000"/>
          <w:szCs w:val="24"/>
          <w:lang w:eastAsia="lt-LT"/>
        </w:rPr>
        <w:t xml:space="preserve">tvirtina </w:t>
      </w:r>
      <w:r>
        <w:rPr>
          <w:color w:val="000000"/>
          <w:szCs w:val="24"/>
          <w:lang w:eastAsia="lt-LT"/>
        </w:rPr>
        <w:t xml:space="preserve">savivaldybės neformaliojo suaugusiųjų švietimo </w:t>
      </w:r>
      <w:r>
        <w:rPr>
          <w:bCs/>
          <w:color w:val="000000"/>
          <w:szCs w:val="24"/>
          <w:lang w:eastAsia="lt-LT"/>
        </w:rPr>
        <w:t xml:space="preserve">ir tęstinio mokymosi veiksmų planą </w:t>
      </w:r>
      <w:r>
        <w:rPr>
          <w:color w:val="000000"/>
          <w:szCs w:val="24"/>
          <w:lang w:eastAsia="lt-LT"/>
        </w:rPr>
        <w:t xml:space="preserve">ir skiria </w:t>
      </w:r>
      <w:r>
        <w:rPr>
          <w:bCs/>
          <w:color w:val="000000"/>
          <w:szCs w:val="24"/>
          <w:lang w:eastAsia="lt-LT"/>
        </w:rPr>
        <w:t>jo įgyvendinimo</w:t>
      </w:r>
      <w:r>
        <w:rPr>
          <w:color w:val="000000"/>
          <w:szCs w:val="24"/>
          <w:lang w:eastAsia="lt-LT"/>
        </w:rPr>
        <w:t xml:space="preserve"> koordinatorių.</w:t>
      </w:r>
    </w:p>
    <w:p w14:paraId="5FCF9383" w14:textId="77777777" w:rsidR="00B607F4" w:rsidRDefault="00405F24">
      <w:pPr>
        <w:spacing w:line="360" w:lineRule="atLeast"/>
        <w:ind w:firstLine="720"/>
        <w:jc w:val="both"/>
        <w:rPr>
          <w:color w:val="000000"/>
          <w:szCs w:val="24"/>
          <w:lang w:eastAsia="lt-LT"/>
        </w:rPr>
      </w:pPr>
      <w:r>
        <w:rPr>
          <w:color w:val="000000"/>
          <w:szCs w:val="24"/>
          <w:lang w:eastAsia="lt-LT"/>
        </w:rPr>
        <w:lastRenderedPageBreak/>
        <w:t>16. Programos įgyvendinimas koordinuojamas rengiant Lietuvos Respublikos švietimo ir mokslo ministerijos ir jai pavaldžių įstaigų strateginius ir darbo planus. Švietimo ir mokslo ministras gali sudaryti darbo (ekspertų) grupes Programos klausimams aptarti, pasiūlymams teikti ir Programai parengti.</w:t>
      </w:r>
    </w:p>
    <w:p w14:paraId="5FCF9384" w14:textId="77777777" w:rsidR="00B607F4" w:rsidRDefault="00405F24">
      <w:pPr>
        <w:spacing w:line="360" w:lineRule="atLeast"/>
        <w:ind w:firstLine="720"/>
        <w:jc w:val="both"/>
        <w:rPr>
          <w:color w:val="000000"/>
          <w:szCs w:val="24"/>
          <w:lang w:eastAsia="lt-LT"/>
        </w:rPr>
      </w:pPr>
      <w:r>
        <w:rPr>
          <w:color w:val="000000"/>
          <w:szCs w:val="24"/>
          <w:lang w:eastAsia="lt-LT"/>
        </w:rPr>
        <w:t>17. Programos įgyvendinimo stebėsena atliekama pagal Programos priede nurodytus Programos vertinimo kriterijus ir reikšmes. Stebėsenai atlikti naudojamos Švietimo valdymo informacinės sistemos galimybės, kitų informacinių sistemų ir Lietuvos statistikos departamento duomenys, tyrimai ir vertinimai.</w:t>
      </w:r>
    </w:p>
    <w:p w14:paraId="5FCF9385" w14:textId="77777777" w:rsidR="00B607F4" w:rsidRDefault="00405F24">
      <w:pPr>
        <w:spacing w:line="360" w:lineRule="atLeast"/>
        <w:ind w:firstLine="720"/>
        <w:jc w:val="both"/>
        <w:rPr>
          <w:color w:val="000000"/>
          <w:szCs w:val="24"/>
          <w:lang w:eastAsia="lt-LT"/>
        </w:rPr>
      </w:pPr>
      <w:r>
        <w:rPr>
          <w:color w:val="000000"/>
          <w:szCs w:val="24"/>
          <w:lang w:eastAsia="lt-LT"/>
        </w:rPr>
        <w:t>18. Lietuvos Respublikos švietimo ir mokslo ministerija kasmet metinėje savo veiklos ataskaitoje teikia Lietuvos Respublikos Vyriausybei informaciją apie Programos įgyvendinimo rezultatus ir jų pasiekimo vertinimą.</w:t>
      </w:r>
    </w:p>
    <w:p w14:paraId="5FCF9386" w14:textId="77777777" w:rsidR="00B607F4" w:rsidRDefault="00405F24">
      <w:pPr>
        <w:spacing w:line="360" w:lineRule="atLeast"/>
        <w:ind w:firstLine="720"/>
        <w:jc w:val="both"/>
        <w:rPr>
          <w:color w:val="000000"/>
          <w:szCs w:val="24"/>
          <w:lang w:eastAsia="lt-LT"/>
        </w:rPr>
      </w:pPr>
      <w:r>
        <w:rPr>
          <w:color w:val="000000"/>
          <w:szCs w:val="24"/>
          <w:lang w:eastAsia="lt-LT"/>
        </w:rPr>
        <w:t>19. Programos įgyvendinimas finansuojamas iš Lietuvos Respublikos valstybės biudžeto, ES finansinės paramos ir kitos gaunamos tarptautinės finansinės paramos lėšų, taip pat gali būti finansuojamas iš savivaldybių biudžetų.</w:t>
      </w:r>
    </w:p>
    <w:p w14:paraId="5FCF9387" w14:textId="77777777" w:rsidR="00B607F4" w:rsidRDefault="00405F24">
      <w:pPr>
        <w:spacing w:line="360" w:lineRule="atLeast"/>
        <w:ind w:firstLine="720"/>
        <w:jc w:val="both"/>
        <w:rPr>
          <w:color w:val="000000"/>
          <w:szCs w:val="24"/>
          <w:lang w:eastAsia="lt-LT"/>
        </w:rPr>
      </w:pPr>
      <w:r>
        <w:rPr>
          <w:color w:val="000000"/>
          <w:szCs w:val="24"/>
          <w:lang w:eastAsia="lt-LT"/>
        </w:rPr>
        <w:t xml:space="preserve">20. Programos įgyvendinimo rezultatai skelbiami Lietuvos Respublikos švietimo ir mokslo ministerijos interneto svetainėje. </w:t>
      </w:r>
    </w:p>
    <w:p w14:paraId="5FCF9388" w14:textId="77777777" w:rsidR="00B607F4" w:rsidRDefault="00B607F4">
      <w:pPr>
        <w:tabs>
          <w:tab w:val="left" w:pos="6237"/>
          <w:tab w:val="right" w:pos="8306"/>
        </w:tabs>
        <w:rPr>
          <w:color w:val="000000"/>
          <w:lang w:eastAsia="lt-LT"/>
        </w:rPr>
      </w:pPr>
    </w:p>
    <w:p w14:paraId="5FCF9389" w14:textId="77777777" w:rsidR="00B607F4" w:rsidRDefault="00B607F4">
      <w:pPr>
        <w:tabs>
          <w:tab w:val="left" w:pos="6237"/>
          <w:tab w:val="right" w:pos="8306"/>
        </w:tabs>
        <w:rPr>
          <w:color w:val="000000"/>
          <w:lang w:eastAsia="lt-LT"/>
        </w:rPr>
      </w:pPr>
    </w:p>
    <w:p w14:paraId="5FCF938A" w14:textId="77777777" w:rsidR="00B607F4" w:rsidRDefault="00B607F4">
      <w:pPr>
        <w:tabs>
          <w:tab w:val="left" w:pos="6237"/>
          <w:tab w:val="right" w:pos="8306"/>
        </w:tabs>
        <w:rPr>
          <w:color w:val="000000"/>
          <w:lang w:eastAsia="lt-LT"/>
        </w:rPr>
      </w:pPr>
    </w:p>
    <w:p w14:paraId="5FCF938E" w14:textId="5245D231" w:rsidR="00B607F4" w:rsidRPr="00405F24" w:rsidRDefault="00405F24" w:rsidP="00405F24">
      <w:pPr>
        <w:tabs>
          <w:tab w:val="left" w:pos="6237"/>
          <w:tab w:val="right" w:pos="8306"/>
        </w:tabs>
        <w:jc w:val="center"/>
        <w:rPr>
          <w:color w:val="000000"/>
          <w:lang w:eastAsia="lt-LT"/>
        </w:rPr>
      </w:pPr>
      <w:r>
        <w:rPr>
          <w:color w:val="000000"/>
          <w:lang w:eastAsia="lt-LT"/>
        </w:rPr>
        <w:t>––––––––––––––––––––</w:t>
      </w:r>
    </w:p>
    <w:p w14:paraId="7CCA4176" w14:textId="77777777" w:rsidR="00405F24" w:rsidRDefault="00405F24" w:rsidP="00405F24">
      <w:pPr>
        <w:sectPr w:rsidR="00405F24" w:rsidSect="00405F24">
          <w:headerReference w:type="even" r:id="rId7"/>
          <w:headerReference w:type="default" r:id="rId8"/>
          <w:footerReference w:type="even" r:id="rId9"/>
          <w:footerReference w:type="default" r:id="rId10"/>
          <w:headerReference w:type="first" r:id="rId11"/>
          <w:footerReference w:type="first" r:id="rId12"/>
          <w:pgSz w:w="11906" w:h="16838" w:code="9"/>
          <w:pgMar w:top="1701" w:right="567" w:bottom="1134" w:left="1701" w:header="567" w:footer="567" w:gutter="0"/>
          <w:cols w:space="1296"/>
          <w:titlePg/>
          <w:docGrid w:linePitch="326"/>
        </w:sectPr>
      </w:pPr>
    </w:p>
    <w:p w14:paraId="5FCF938F" w14:textId="0E736A86" w:rsidR="00B607F4" w:rsidRDefault="00405F24">
      <w:pPr>
        <w:ind w:left="9072"/>
        <w:rPr>
          <w:bCs/>
          <w:szCs w:val="24"/>
          <w:lang w:eastAsia="lt-LT"/>
        </w:rPr>
      </w:pPr>
      <w:r>
        <w:rPr>
          <w:bCs/>
          <w:szCs w:val="24"/>
          <w:lang w:eastAsia="lt-LT"/>
        </w:rPr>
        <w:lastRenderedPageBreak/>
        <w:t xml:space="preserve">Neformaliojo suaugusiųjų švietimo ir tęstinio mokymosi </w:t>
      </w:r>
    </w:p>
    <w:p w14:paraId="5FCF9390" w14:textId="77777777" w:rsidR="00B607F4" w:rsidRDefault="00405F24">
      <w:pPr>
        <w:ind w:left="9072"/>
        <w:rPr>
          <w:lang w:eastAsia="lt-LT"/>
        </w:rPr>
      </w:pPr>
      <w:r>
        <w:rPr>
          <w:bCs/>
          <w:szCs w:val="24"/>
          <w:lang w:eastAsia="lt-LT"/>
        </w:rPr>
        <w:t>2016–2023 metų plėtros programos</w:t>
      </w:r>
      <w:r>
        <w:rPr>
          <w:lang w:eastAsia="lt-LT"/>
        </w:rPr>
        <w:br/>
        <w:t>priedas</w:t>
      </w:r>
    </w:p>
    <w:p w14:paraId="5FCF9391" w14:textId="77777777" w:rsidR="00B607F4" w:rsidRDefault="00B607F4">
      <w:pPr>
        <w:tabs>
          <w:tab w:val="left" w:pos="-284"/>
        </w:tabs>
        <w:rPr>
          <w:caps/>
          <w:lang w:eastAsia="lt-LT"/>
        </w:rPr>
      </w:pPr>
    </w:p>
    <w:p w14:paraId="5FCF9392" w14:textId="77777777" w:rsidR="00B607F4" w:rsidRDefault="00B607F4">
      <w:pPr>
        <w:tabs>
          <w:tab w:val="left" w:pos="-284"/>
        </w:tabs>
        <w:rPr>
          <w:caps/>
          <w:lang w:eastAsia="lt-LT"/>
        </w:rPr>
      </w:pPr>
    </w:p>
    <w:p w14:paraId="5FCF9393" w14:textId="77777777" w:rsidR="00B607F4" w:rsidRDefault="00B607F4">
      <w:pPr>
        <w:tabs>
          <w:tab w:val="left" w:pos="-284"/>
        </w:tabs>
        <w:rPr>
          <w:caps/>
          <w:lang w:eastAsia="lt-LT"/>
        </w:rPr>
      </w:pPr>
    </w:p>
    <w:p w14:paraId="5FCF9394" w14:textId="77777777" w:rsidR="00B607F4" w:rsidRDefault="00405F24">
      <w:pPr>
        <w:jc w:val="center"/>
        <w:rPr>
          <w:b/>
          <w:caps/>
          <w:szCs w:val="24"/>
          <w:lang w:val="en-GB"/>
        </w:rPr>
      </w:pPr>
      <w:r>
        <w:rPr>
          <w:b/>
          <w:bCs/>
          <w:szCs w:val="24"/>
          <w:lang w:val="en-GB"/>
        </w:rPr>
        <w:t xml:space="preserve">NEFORMALIOJO SUAUGUSIŲJŲ ŠVIETIMO IR TĘSTINIO MOKYMOSI 2016–2023 METŲ PLĖTROS PROGRAMOS </w:t>
      </w:r>
      <w:r>
        <w:rPr>
          <w:b/>
          <w:caps/>
          <w:szCs w:val="24"/>
          <w:lang w:val="en-GB"/>
        </w:rPr>
        <w:t>vERTINIMO KRTERIJAI IR Reikšmės</w:t>
      </w:r>
    </w:p>
    <w:p w14:paraId="5FCF9395" w14:textId="77777777" w:rsidR="00B607F4" w:rsidRDefault="00B607F4">
      <w:pPr>
        <w:rPr>
          <w:szCs w:val="24"/>
          <w:lang w:eastAsia="lt-LT"/>
        </w:rPr>
      </w:pPr>
    </w:p>
    <w:p w14:paraId="5FCF9396" w14:textId="77777777" w:rsidR="00B607F4" w:rsidRDefault="00B607F4">
      <w:pPr>
        <w:rPr>
          <w:szCs w:val="24"/>
          <w:lang w:eastAsia="lt-LT"/>
        </w:rPr>
      </w:pPr>
    </w:p>
    <w:p w14:paraId="5FCF9397" w14:textId="77777777" w:rsidR="00B607F4" w:rsidRDefault="00B607F4">
      <w:pPr>
        <w:rPr>
          <w:szCs w:val="24"/>
          <w:lang w:eastAsia="lt-LT"/>
        </w:rPr>
      </w:pPr>
    </w:p>
    <w:tbl>
      <w:tblPr>
        <w:tblW w:w="14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47"/>
        <w:gridCol w:w="3541"/>
        <w:gridCol w:w="1672"/>
        <w:gridCol w:w="1416"/>
        <w:gridCol w:w="1558"/>
        <w:gridCol w:w="2693"/>
      </w:tblGrid>
      <w:tr w:rsidR="00B607F4" w14:paraId="5FCF939E" w14:textId="77777777">
        <w:trPr>
          <w:trHeight w:val="255"/>
          <w:tblHeader/>
        </w:trPr>
        <w:tc>
          <w:tcPr>
            <w:tcW w:w="567" w:type="dxa"/>
            <w:vMerge w:val="restart"/>
            <w:tcBorders>
              <w:top w:val="single" w:sz="4" w:space="0" w:color="auto"/>
              <w:left w:val="single" w:sz="4" w:space="0" w:color="auto"/>
              <w:bottom w:val="single" w:sz="4" w:space="0" w:color="auto"/>
              <w:right w:val="single" w:sz="4" w:space="0" w:color="auto"/>
            </w:tcBorders>
            <w:hideMark/>
          </w:tcPr>
          <w:p w14:paraId="5FCF9398" w14:textId="77777777" w:rsidR="00B607F4" w:rsidRDefault="00405F24">
            <w:pPr>
              <w:jc w:val="center"/>
              <w:rPr>
                <w:sz w:val="22"/>
                <w:szCs w:val="22"/>
                <w:lang w:eastAsia="lt-LT"/>
              </w:rPr>
            </w:pPr>
            <w:r>
              <w:rPr>
                <w:sz w:val="22"/>
                <w:szCs w:val="22"/>
                <w:lang w:eastAsia="lt-LT"/>
              </w:rPr>
              <w:t>Eil. Nr.</w:t>
            </w:r>
          </w:p>
        </w:tc>
        <w:tc>
          <w:tcPr>
            <w:tcW w:w="3148" w:type="dxa"/>
            <w:vMerge w:val="restart"/>
            <w:tcBorders>
              <w:top w:val="single" w:sz="4" w:space="0" w:color="auto"/>
              <w:left w:val="single" w:sz="4" w:space="0" w:color="auto"/>
              <w:bottom w:val="single" w:sz="4" w:space="0" w:color="auto"/>
              <w:right w:val="single" w:sz="4" w:space="0" w:color="auto"/>
            </w:tcBorders>
            <w:hideMark/>
          </w:tcPr>
          <w:p w14:paraId="5FCF9399" w14:textId="77777777" w:rsidR="00B607F4" w:rsidRDefault="00405F24">
            <w:pPr>
              <w:jc w:val="center"/>
              <w:rPr>
                <w:sz w:val="22"/>
                <w:szCs w:val="22"/>
                <w:lang w:eastAsia="lt-LT"/>
              </w:rPr>
            </w:pPr>
            <w:r>
              <w:rPr>
                <w:sz w:val="22"/>
                <w:szCs w:val="22"/>
                <w:lang w:eastAsia="lt-LT"/>
              </w:rPr>
              <w:t>Tikslas</w:t>
            </w:r>
          </w:p>
        </w:tc>
        <w:tc>
          <w:tcPr>
            <w:tcW w:w="3543" w:type="dxa"/>
            <w:vMerge w:val="restart"/>
            <w:tcBorders>
              <w:top w:val="single" w:sz="4" w:space="0" w:color="auto"/>
              <w:left w:val="single" w:sz="4" w:space="0" w:color="auto"/>
              <w:bottom w:val="single" w:sz="4" w:space="0" w:color="auto"/>
              <w:right w:val="single" w:sz="4" w:space="0" w:color="auto"/>
            </w:tcBorders>
            <w:hideMark/>
          </w:tcPr>
          <w:p w14:paraId="5FCF939A" w14:textId="77777777" w:rsidR="00B607F4" w:rsidRDefault="00405F24">
            <w:pPr>
              <w:jc w:val="center"/>
              <w:rPr>
                <w:sz w:val="22"/>
                <w:szCs w:val="22"/>
                <w:lang w:eastAsia="lt-LT"/>
              </w:rPr>
            </w:pPr>
            <w:r>
              <w:rPr>
                <w:sz w:val="22"/>
                <w:szCs w:val="22"/>
                <w:lang w:eastAsia="lt-LT"/>
              </w:rPr>
              <w:t>Vertinimo kriterijus</w:t>
            </w:r>
            <w:r>
              <w:rPr>
                <w:sz w:val="22"/>
                <w:szCs w:val="22"/>
                <w:lang w:eastAsia="lt-LT"/>
              </w:rPr>
              <w:br/>
              <w:t>(duomenų šaltinis)</w:t>
            </w:r>
          </w:p>
        </w:tc>
        <w:tc>
          <w:tcPr>
            <w:tcW w:w="1673" w:type="dxa"/>
            <w:vMerge w:val="restart"/>
            <w:tcBorders>
              <w:top w:val="single" w:sz="4" w:space="0" w:color="auto"/>
              <w:left w:val="single" w:sz="4" w:space="0" w:color="auto"/>
              <w:bottom w:val="single" w:sz="4" w:space="0" w:color="auto"/>
              <w:right w:val="single" w:sz="4" w:space="0" w:color="auto"/>
            </w:tcBorders>
            <w:hideMark/>
          </w:tcPr>
          <w:p w14:paraId="5FCF939B" w14:textId="77777777" w:rsidR="00B607F4" w:rsidRDefault="00405F24">
            <w:pPr>
              <w:jc w:val="center"/>
              <w:rPr>
                <w:sz w:val="22"/>
                <w:szCs w:val="22"/>
                <w:lang w:eastAsia="lt-LT"/>
              </w:rPr>
            </w:pPr>
            <w:r>
              <w:rPr>
                <w:sz w:val="22"/>
                <w:szCs w:val="22"/>
                <w:lang w:eastAsia="lt-LT"/>
              </w:rPr>
              <w:t>Būklė (metai)</w:t>
            </w:r>
          </w:p>
        </w:tc>
        <w:tc>
          <w:tcPr>
            <w:tcW w:w="2976" w:type="dxa"/>
            <w:gridSpan w:val="2"/>
            <w:tcBorders>
              <w:top w:val="single" w:sz="4" w:space="0" w:color="auto"/>
              <w:left w:val="single" w:sz="4" w:space="0" w:color="auto"/>
              <w:bottom w:val="single" w:sz="4" w:space="0" w:color="auto"/>
              <w:right w:val="single" w:sz="4" w:space="0" w:color="auto"/>
            </w:tcBorders>
            <w:hideMark/>
          </w:tcPr>
          <w:p w14:paraId="5FCF939C" w14:textId="77777777" w:rsidR="00B607F4" w:rsidRDefault="00405F24">
            <w:pPr>
              <w:jc w:val="center"/>
              <w:rPr>
                <w:sz w:val="22"/>
                <w:szCs w:val="22"/>
                <w:lang w:eastAsia="lt-LT"/>
              </w:rPr>
            </w:pPr>
            <w:r>
              <w:rPr>
                <w:sz w:val="22"/>
                <w:szCs w:val="22"/>
                <w:lang w:eastAsia="lt-LT"/>
              </w:rPr>
              <w:t xml:space="preserve">Reikšmė </w:t>
            </w:r>
          </w:p>
        </w:tc>
        <w:tc>
          <w:tcPr>
            <w:tcW w:w="2694" w:type="dxa"/>
            <w:vMerge w:val="restart"/>
            <w:tcBorders>
              <w:top w:val="single" w:sz="4" w:space="0" w:color="auto"/>
              <w:left w:val="single" w:sz="4" w:space="0" w:color="auto"/>
              <w:bottom w:val="single" w:sz="4" w:space="0" w:color="auto"/>
              <w:right w:val="single" w:sz="4" w:space="0" w:color="auto"/>
            </w:tcBorders>
            <w:hideMark/>
          </w:tcPr>
          <w:p w14:paraId="5FCF939D" w14:textId="77777777" w:rsidR="00B607F4" w:rsidRDefault="00405F24">
            <w:pPr>
              <w:jc w:val="center"/>
              <w:rPr>
                <w:sz w:val="22"/>
                <w:szCs w:val="22"/>
                <w:lang w:eastAsia="lt-LT"/>
              </w:rPr>
            </w:pPr>
            <w:r>
              <w:rPr>
                <w:sz w:val="22"/>
                <w:szCs w:val="22"/>
                <w:lang w:eastAsia="lt-LT"/>
              </w:rPr>
              <w:t>Atsakingi vykdytojai</w:t>
            </w:r>
          </w:p>
        </w:tc>
      </w:tr>
      <w:tr w:rsidR="00B607F4" w14:paraId="5FCF93A6" w14:textId="77777777">
        <w:trPr>
          <w:trHeight w:val="255"/>
          <w:tblHeader/>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FCF939F" w14:textId="77777777" w:rsidR="00B607F4" w:rsidRDefault="00B607F4">
            <w:pPr>
              <w:rPr>
                <w:sz w:val="22"/>
                <w:szCs w:val="22"/>
                <w:lang w:eastAsia="lt-LT"/>
              </w:rPr>
            </w:pPr>
          </w:p>
        </w:tc>
        <w:tc>
          <w:tcPr>
            <w:tcW w:w="3148" w:type="dxa"/>
            <w:vMerge/>
            <w:tcBorders>
              <w:top w:val="single" w:sz="4" w:space="0" w:color="auto"/>
              <w:left w:val="single" w:sz="4" w:space="0" w:color="auto"/>
              <w:bottom w:val="single" w:sz="4" w:space="0" w:color="auto"/>
              <w:right w:val="single" w:sz="4" w:space="0" w:color="auto"/>
            </w:tcBorders>
            <w:vAlign w:val="center"/>
            <w:hideMark/>
          </w:tcPr>
          <w:p w14:paraId="5FCF93A0" w14:textId="77777777" w:rsidR="00B607F4" w:rsidRDefault="00B607F4">
            <w:pPr>
              <w:rPr>
                <w:sz w:val="22"/>
                <w:szCs w:val="22"/>
                <w:lang w:eastAsia="lt-LT"/>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5FCF93A1" w14:textId="77777777" w:rsidR="00B607F4" w:rsidRDefault="00B607F4">
            <w:pPr>
              <w:rPr>
                <w:sz w:val="22"/>
                <w:szCs w:val="22"/>
                <w:lang w:eastAsia="lt-LT"/>
              </w:rPr>
            </w:pPr>
          </w:p>
        </w:tc>
        <w:tc>
          <w:tcPr>
            <w:tcW w:w="1673" w:type="dxa"/>
            <w:vMerge/>
            <w:tcBorders>
              <w:top w:val="single" w:sz="4" w:space="0" w:color="auto"/>
              <w:left w:val="single" w:sz="4" w:space="0" w:color="auto"/>
              <w:bottom w:val="single" w:sz="4" w:space="0" w:color="auto"/>
              <w:right w:val="single" w:sz="4" w:space="0" w:color="auto"/>
            </w:tcBorders>
            <w:vAlign w:val="center"/>
            <w:hideMark/>
          </w:tcPr>
          <w:p w14:paraId="5FCF93A2" w14:textId="77777777" w:rsidR="00B607F4" w:rsidRDefault="00B607F4">
            <w:pPr>
              <w:rPr>
                <w:sz w:val="22"/>
                <w:szCs w:val="22"/>
                <w:lang w:eastAsia="lt-LT"/>
              </w:rPr>
            </w:pPr>
          </w:p>
        </w:tc>
        <w:tc>
          <w:tcPr>
            <w:tcW w:w="1417" w:type="dxa"/>
            <w:tcBorders>
              <w:top w:val="single" w:sz="4" w:space="0" w:color="auto"/>
              <w:left w:val="single" w:sz="4" w:space="0" w:color="auto"/>
              <w:bottom w:val="single" w:sz="4" w:space="0" w:color="auto"/>
              <w:right w:val="single" w:sz="4" w:space="0" w:color="auto"/>
            </w:tcBorders>
            <w:hideMark/>
          </w:tcPr>
          <w:p w14:paraId="5FCF93A3" w14:textId="77777777" w:rsidR="00B607F4" w:rsidRDefault="00405F24">
            <w:pPr>
              <w:jc w:val="center"/>
              <w:rPr>
                <w:sz w:val="22"/>
                <w:szCs w:val="22"/>
                <w:lang w:eastAsia="lt-LT"/>
              </w:rPr>
            </w:pPr>
            <w:r>
              <w:rPr>
                <w:sz w:val="22"/>
                <w:szCs w:val="22"/>
                <w:lang w:eastAsia="lt-LT"/>
              </w:rPr>
              <w:t>2018 metų</w:t>
            </w:r>
          </w:p>
        </w:tc>
        <w:tc>
          <w:tcPr>
            <w:tcW w:w="1559" w:type="dxa"/>
            <w:tcBorders>
              <w:top w:val="single" w:sz="4" w:space="0" w:color="auto"/>
              <w:left w:val="single" w:sz="4" w:space="0" w:color="auto"/>
              <w:bottom w:val="single" w:sz="4" w:space="0" w:color="auto"/>
              <w:right w:val="single" w:sz="4" w:space="0" w:color="auto"/>
            </w:tcBorders>
            <w:hideMark/>
          </w:tcPr>
          <w:p w14:paraId="5FCF93A4" w14:textId="77777777" w:rsidR="00B607F4" w:rsidRDefault="00405F24">
            <w:pPr>
              <w:jc w:val="center"/>
              <w:rPr>
                <w:sz w:val="22"/>
                <w:szCs w:val="22"/>
                <w:lang w:eastAsia="lt-LT"/>
              </w:rPr>
            </w:pPr>
            <w:r>
              <w:rPr>
                <w:sz w:val="22"/>
                <w:szCs w:val="22"/>
                <w:lang w:eastAsia="lt-LT"/>
              </w:rPr>
              <w:t>2023 metų</w:t>
            </w: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5FCF93A5" w14:textId="77777777" w:rsidR="00B607F4" w:rsidRDefault="00B607F4">
            <w:pPr>
              <w:rPr>
                <w:sz w:val="22"/>
                <w:szCs w:val="22"/>
                <w:lang w:eastAsia="lt-LT"/>
              </w:rPr>
            </w:pPr>
          </w:p>
        </w:tc>
      </w:tr>
      <w:tr w:rsidR="00B607F4" w14:paraId="5FCF93AE" w14:textId="77777777">
        <w:trPr>
          <w:trHeight w:val="23"/>
        </w:trPr>
        <w:tc>
          <w:tcPr>
            <w:tcW w:w="567" w:type="dxa"/>
            <w:tcBorders>
              <w:top w:val="single" w:sz="4" w:space="0" w:color="auto"/>
              <w:left w:val="single" w:sz="4" w:space="0" w:color="auto"/>
              <w:bottom w:val="single" w:sz="4" w:space="0" w:color="auto"/>
              <w:right w:val="single" w:sz="4" w:space="0" w:color="auto"/>
            </w:tcBorders>
            <w:hideMark/>
          </w:tcPr>
          <w:p w14:paraId="5FCF93A7" w14:textId="77777777" w:rsidR="00B607F4" w:rsidRDefault="00405F24">
            <w:pPr>
              <w:jc w:val="center"/>
              <w:rPr>
                <w:sz w:val="22"/>
                <w:szCs w:val="22"/>
                <w:lang w:eastAsia="lt-LT"/>
              </w:rPr>
            </w:pPr>
            <w:r>
              <w:rPr>
                <w:sz w:val="22"/>
                <w:szCs w:val="22"/>
                <w:lang w:eastAsia="lt-LT"/>
              </w:rPr>
              <w:t>1.</w:t>
            </w:r>
          </w:p>
        </w:tc>
        <w:tc>
          <w:tcPr>
            <w:tcW w:w="3148" w:type="dxa"/>
            <w:tcBorders>
              <w:top w:val="single" w:sz="4" w:space="0" w:color="auto"/>
              <w:left w:val="single" w:sz="4" w:space="0" w:color="auto"/>
              <w:bottom w:val="single" w:sz="4" w:space="0" w:color="auto"/>
              <w:right w:val="single" w:sz="4" w:space="0" w:color="auto"/>
            </w:tcBorders>
            <w:hideMark/>
          </w:tcPr>
          <w:p w14:paraId="5FCF93A8" w14:textId="77777777" w:rsidR="00B607F4" w:rsidRDefault="00405F24">
            <w:pPr>
              <w:tabs>
                <w:tab w:val="left" w:pos="426"/>
                <w:tab w:val="left" w:pos="1260"/>
              </w:tabs>
              <w:rPr>
                <w:color w:val="FF0000"/>
                <w:sz w:val="22"/>
                <w:szCs w:val="22"/>
                <w:lang w:eastAsia="lt-LT"/>
              </w:rPr>
            </w:pPr>
            <w:r>
              <w:rPr>
                <w:sz w:val="22"/>
                <w:szCs w:val="22"/>
                <w:lang w:eastAsia="lt-LT"/>
              </w:rPr>
              <w:t xml:space="preserve">Programos </w:t>
            </w:r>
            <w:r>
              <w:rPr>
                <w:color w:val="000000"/>
                <w:sz w:val="22"/>
                <w:szCs w:val="22"/>
                <w:lang w:eastAsia="lt-LT"/>
              </w:rPr>
              <w:t xml:space="preserve">strateginis </w:t>
            </w:r>
            <w:r>
              <w:rPr>
                <w:sz w:val="22"/>
                <w:szCs w:val="22"/>
                <w:lang w:eastAsia="lt-LT"/>
              </w:rPr>
              <w:t xml:space="preserve">tikslas </w:t>
            </w:r>
            <w:r>
              <w:rPr>
                <w:color w:val="000000"/>
                <w:sz w:val="22"/>
                <w:szCs w:val="22"/>
                <w:lang w:eastAsia="lt-LT"/>
              </w:rPr>
              <w:t xml:space="preserve">– sukurti ir išplėtoti </w:t>
            </w:r>
            <w:r>
              <w:rPr>
                <w:bCs/>
                <w:color w:val="000000"/>
                <w:sz w:val="22"/>
                <w:szCs w:val="22"/>
                <w:lang w:eastAsia="lt-LT"/>
              </w:rPr>
              <w:t>neformalųjį suaugusiųjų švietimą ir tęstinį mokymąsi</w:t>
            </w:r>
            <w:r>
              <w:rPr>
                <w:color w:val="000000"/>
                <w:sz w:val="22"/>
                <w:szCs w:val="22"/>
                <w:lang w:eastAsia="lt-LT"/>
              </w:rPr>
              <w:t xml:space="preserve"> laiduojančią ir prieinamą, socialiai teisingą švietimo sistemą, atitinkančią atviroje pilietinėje visuomenėje darbo rinkoje veikiančio asmens ir visuomenės poreikius</w:t>
            </w:r>
          </w:p>
        </w:tc>
        <w:tc>
          <w:tcPr>
            <w:tcW w:w="3543" w:type="dxa"/>
            <w:tcBorders>
              <w:top w:val="single" w:sz="4" w:space="0" w:color="auto"/>
              <w:left w:val="single" w:sz="4" w:space="0" w:color="auto"/>
              <w:bottom w:val="single" w:sz="4" w:space="0" w:color="auto"/>
              <w:right w:val="single" w:sz="4" w:space="0" w:color="auto"/>
            </w:tcBorders>
            <w:hideMark/>
          </w:tcPr>
          <w:p w14:paraId="5FCF93A9" w14:textId="77777777" w:rsidR="00B607F4" w:rsidRDefault="00405F24">
            <w:pPr>
              <w:rPr>
                <w:sz w:val="22"/>
                <w:szCs w:val="22"/>
                <w:lang w:eastAsia="lt-LT"/>
              </w:rPr>
            </w:pPr>
            <w:r>
              <w:rPr>
                <w:sz w:val="22"/>
                <w:szCs w:val="22"/>
                <w:lang w:eastAsia="lt-LT"/>
              </w:rPr>
              <w:t xml:space="preserve">1.1. 25–64 metų gyventojų, per 4 paskutines savaites dalyvavusių švietimo ir profesinio mokymo veikloje, dalis (mokymosi visą gyvenimą lygis) (Lietuvos statistikos departamentas, </w:t>
            </w:r>
            <w:r>
              <w:rPr>
                <w:color w:val="000000"/>
                <w:sz w:val="22"/>
                <w:szCs w:val="22"/>
                <w:lang w:eastAsia="lt-LT"/>
              </w:rPr>
              <w:t xml:space="preserve">Europos Sąjungos statistikos agentūra (toliau – </w:t>
            </w:r>
            <w:r>
              <w:rPr>
                <w:i/>
                <w:color w:val="000000"/>
                <w:sz w:val="22"/>
                <w:szCs w:val="22"/>
                <w:lang w:eastAsia="lt-LT"/>
              </w:rPr>
              <w:t>Eurostatas</w:t>
            </w:r>
            <w:r>
              <w:rPr>
                <w:color w:val="000000"/>
                <w:sz w:val="22"/>
                <w:szCs w:val="22"/>
                <w:lang w:eastAsia="lt-LT"/>
              </w:rPr>
              <w:t>)</w:t>
            </w:r>
          </w:p>
        </w:tc>
        <w:tc>
          <w:tcPr>
            <w:tcW w:w="1673" w:type="dxa"/>
            <w:tcBorders>
              <w:top w:val="single" w:sz="4" w:space="0" w:color="auto"/>
              <w:left w:val="single" w:sz="4" w:space="0" w:color="auto"/>
              <w:bottom w:val="single" w:sz="4" w:space="0" w:color="auto"/>
              <w:right w:val="single" w:sz="4" w:space="0" w:color="auto"/>
            </w:tcBorders>
            <w:hideMark/>
          </w:tcPr>
          <w:p w14:paraId="5FCF93AA" w14:textId="77777777" w:rsidR="00B607F4" w:rsidRDefault="00405F24">
            <w:pPr>
              <w:jc w:val="center"/>
              <w:rPr>
                <w:sz w:val="22"/>
                <w:szCs w:val="22"/>
                <w:lang w:eastAsia="lt-LT"/>
              </w:rPr>
            </w:pPr>
            <w:r>
              <w:rPr>
                <w:color w:val="000000"/>
                <w:sz w:val="22"/>
                <w:szCs w:val="22"/>
                <w:lang w:eastAsia="lt-LT"/>
              </w:rPr>
              <w:t>5,2</w:t>
            </w:r>
            <w:r>
              <w:rPr>
                <w:color w:val="000000"/>
                <w:sz w:val="22"/>
                <w:szCs w:val="22"/>
                <w:lang w:val="en-029" w:eastAsia="lt-LT"/>
              </w:rPr>
              <w:t xml:space="preserve"> </w:t>
            </w:r>
            <w:r>
              <w:rPr>
                <w:color w:val="000000"/>
                <w:sz w:val="22"/>
                <w:szCs w:val="22"/>
                <w:lang w:eastAsia="lt-LT"/>
              </w:rPr>
              <w:t>procento (2012)</w:t>
            </w:r>
          </w:p>
        </w:tc>
        <w:tc>
          <w:tcPr>
            <w:tcW w:w="1417" w:type="dxa"/>
            <w:tcBorders>
              <w:top w:val="single" w:sz="4" w:space="0" w:color="auto"/>
              <w:left w:val="single" w:sz="4" w:space="0" w:color="auto"/>
              <w:bottom w:val="single" w:sz="4" w:space="0" w:color="auto"/>
              <w:right w:val="single" w:sz="4" w:space="0" w:color="auto"/>
            </w:tcBorders>
            <w:hideMark/>
          </w:tcPr>
          <w:p w14:paraId="5FCF93AB" w14:textId="77777777" w:rsidR="00B607F4" w:rsidRDefault="00405F24">
            <w:pPr>
              <w:jc w:val="center"/>
              <w:rPr>
                <w:color w:val="000000"/>
                <w:sz w:val="22"/>
                <w:szCs w:val="22"/>
                <w:lang w:eastAsia="lt-LT"/>
              </w:rPr>
            </w:pPr>
            <w:r>
              <w:rPr>
                <w:color w:val="000000"/>
                <w:sz w:val="22"/>
                <w:szCs w:val="22"/>
                <w:lang w:eastAsia="lt-LT"/>
              </w:rPr>
              <w:t>8 procentai</w:t>
            </w:r>
          </w:p>
        </w:tc>
        <w:tc>
          <w:tcPr>
            <w:tcW w:w="1559" w:type="dxa"/>
            <w:tcBorders>
              <w:top w:val="single" w:sz="4" w:space="0" w:color="auto"/>
              <w:left w:val="single" w:sz="4" w:space="0" w:color="auto"/>
              <w:bottom w:val="single" w:sz="4" w:space="0" w:color="auto"/>
              <w:right w:val="single" w:sz="4" w:space="0" w:color="auto"/>
            </w:tcBorders>
            <w:hideMark/>
          </w:tcPr>
          <w:p w14:paraId="5FCF93AC" w14:textId="77777777" w:rsidR="00B607F4" w:rsidRDefault="00405F24">
            <w:pPr>
              <w:jc w:val="center"/>
              <w:rPr>
                <w:sz w:val="22"/>
                <w:szCs w:val="22"/>
                <w:lang w:eastAsia="lt-LT"/>
              </w:rPr>
            </w:pPr>
            <w:r>
              <w:rPr>
                <w:color w:val="000000"/>
                <w:sz w:val="22"/>
                <w:szCs w:val="22"/>
                <w:lang w:eastAsia="lt-LT"/>
              </w:rPr>
              <w:t>12 procentų</w:t>
            </w:r>
          </w:p>
        </w:tc>
        <w:tc>
          <w:tcPr>
            <w:tcW w:w="2694" w:type="dxa"/>
            <w:tcBorders>
              <w:top w:val="single" w:sz="4" w:space="0" w:color="auto"/>
              <w:left w:val="single" w:sz="4" w:space="0" w:color="auto"/>
              <w:bottom w:val="single" w:sz="4" w:space="0" w:color="auto"/>
              <w:right w:val="single" w:sz="4" w:space="0" w:color="auto"/>
            </w:tcBorders>
            <w:hideMark/>
          </w:tcPr>
          <w:p w14:paraId="5FCF93AD" w14:textId="77777777" w:rsidR="00B607F4" w:rsidRDefault="00405F24">
            <w:pPr>
              <w:rPr>
                <w:sz w:val="22"/>
                <w:szCs w:val="22"/>
                <w:lang w:eastAsia="lt-LT"/>
              </w:rPr>
            </w:pPr>
            <w:r>
              <w:rPr>
                <w:sz w:val="22"/>
                <w:szCs w:val="22"/>
                <w:lang w:eastAsia="lt-LT"/>
              </w:rPr>
              <w:t>Lietuvos Respublikos švietimo ir mokslo ministerija</w:t>
            </w:r>
          </w:p>
        </w:tc>
      </w:tr>
      <w:tr w:rsidR="00B607F4" w14:paraId="5FCF93B6" w14:textId="77777777">
        <w:trPr>
          <w:trHeight w:val="23"/>
        </w:trPr>
        <w:tc>
          <w:tcPr>
            <w:tcW w:w="567" w:type="dxa"/>
            <w:tcBorders>
              <w:top w:val="single" w:sz="4" w:space="0" w:color="auto"/>
              <w:left w:val="single" w:sz="4" w:space="0" w:color="auto"/>
              <w:bottom w:val="single" w:sz="4" w:space="0" w:color="auto"/>
              <w:right w:val="single" w:sz="4" w:space="0" w:color="auto"/>
            </w:tcBorders>
          </w:tcPr>
          <w:p w14:paraId="5FCF93AF" w14:textId="77777777" w:rsidR="00B607F4" w:rsidRDefault="00B607F4">
            <w:pPr>
              <w:jc w:val="center"/>
              <w:rPr>
                <w:sz w:val="22"/>
                <w:szCs w:val="22"/>
                <w:lang w:eastAsia="lt-LT"/>
              </w:rPr>
            </w:pPr>
          </w:p>
        </w:tc>
        <w:tc>
          <w:tcPr>
            <w:tcW w:w="3148" w:type="dxa"/>
            <w:tcBorders>
              <w:top w:val="single" w:sz="4" w:space="0" w:color="auto"/>
              <w:left w:val="single" w:sz="4" w:space="0" w:color="auto"/>
              <w:bottom w:val="single" w:sz="4" w:space="0" w:color="auto"/>
              <w:right w:val="single" w:sz="4" w:space="0" w:color="auto"/>
            </w:tcBorders>
          </w:tcPr>
          <w:p w14:paraId="5FCF93B0" w14:textId="77777777" w:rsidR="00B607F4" w:rsidRDefault="00B607F4">
            <w:pPr>
              <w:tabs>
                <w:tab w:val="left" w:pos="426"/>
                <w:tab w:val="left" w:pos="1260"/>
              </w:tabs>
              <w:rPr>
                <w:sz w:val="22"/>
                <w:szCs w:val="22"/>
                <w:lang w:eastAsia="lt-LT"/>
              </w:rPr>
            </w:pPr>
          </w:p>
        </w:tc>
        <w:tc>
          <w:tcPr>
            <w:tcW w:w="3543" w:type="dxa"/>
            <w:tcBorders>
              <w:top w:val="single" w:sz="4" w:space="0" w:color="auto"/>
              <w:left w:val="single" w:sz="4" w:space="0" w:color="auto"/>
              <w:bottom w:val="single" w:sz="4" w:space="0" w:color="auto"/>
              <w:right w:val="single" w:sz="4" w:space="0" w:color="auto"/>
            </w:tcBorders>
            <w:hideMark/>
          </w:tcPr>
          <w:p w14:paraId="5FCF93B1" w14:textId="77777777" w:rsidR="00B607F4" w:rsidRDefault="00405F24">
            <w:pPr>
              <w:rPr>
                <w:color w:val="000000"/>
                <w:sz w:val="22"/>
                <w:szCs w:val="22"/>
                <w:lang w:eastAsia="lt-LT"/>
              </w:rPr>
            </w:pPr>
            <w:r>
              <w:rPr>
                <w:sz w:val="22"/>
                <w:szCs w:val="22"/>
                <w:lang w:eastAsia="lt-LT"/>
              </w:rPr>
              <w:t>1.2. Suaugusiųjų (24–64 metų) dalyvavimo neformaliajame mokymesi lygis (</w:t>
            </w:r>
            <w:r>
              <w:rPr>
                <w:i/>
                <w:color w:val="000000"/>
                <w:sz w:val="22"/>
                <w:szCs w:val="22"/>
                <w:lang w:eastAsia="lt-LT"/>
              </w:rPr>
              <w:t>Eurostatas</w:t>
            </w:r>
            <w:r>
              <w:rPr>
                <w:color w:val="000000"/>
                <w:sz w:val="22"/>
                <w:szCs w:val="22"/>
                <w:lang w:eastAsia="lt-LT"/>
              </w:rPr>
              <w:t>)</w:t>
            </w:r>
          </w:p>
        </w:tc>
        <w:tc>
          <w:tcPr>
            <w:tcW w:w="1673" w:type="dxa"/>
            <w:tcBorders>
              <w:top w:val="single" w:sz="4" w:space="0" w:color="auto"/>
              <w:left w:val="single" w:sz="4" w:space="0" w:color="auto"/>
              <w:bottom w:val="single" w:sz="4" w:space="0" w:color="auto"/>
              <w:right w:val="single" w:sz="4" w:space="0" w:color="auto"/>
            </w:tcBorders>
            <w:hideMark/>
          </w:tcPr>
          <w:p w14:paraId="5FCF93B2" w14:textId="77777777" w:rsidR="00B607F4" w:rsidRDefault="00405F24">
            <w:pPr>
              <w:widowControl w:val="0"/>
              <w:jc w:val="center"/>
              <w:rPr>
                <w:sz w:val="22"/>
                <w:szCs w:val="22"/>
                <w:lang w:eastAsia="lt-LT"/>
              </w:rPr>
            </w:pPr>
            <w:r>
              <w:rPr>
                <w:sz w:val="22"/>
                <w:szCs w:val="22"/>
                <w:lang w:eastAsia="lt-LT"/>
              </w:rPr>
              <w:t>3,8</w:t>
            </w:r>
            <w:r>
              <w:rPr>
                <w:color w:val="000000"/>
                <w:sz w:val="22"/>
                <w:szCs w:val="22"/>
                <w:lang w:eastAsia="lt-LT"/>
              </w:rPr>
              <w:t xml:space="preserve"> procento</w:t>
            </w:r>
            <w:r>
              <w:rPr>
                <w:sz w:val="22"/>
                <w:szCs w:val="22"/>
                <w:lang w:eastAsia="lt-LT"/>
              </w:rPr>
              <w:t xml:space="preserve"> (2011)</w:t>
            </w:r>
          </w:p>
        </w:tc>
        <w:tc>
          <w:tcPr>
            <w:tcW w:w="1417" w:type="dxa"/>
            <w:tcBorders>
              <w:top w:val="single" w:sz="4" w:space="0" w:color="auto"/>
              <w:left w:val="single" w:sz="4" w:space="0" w:color="auto"/>
              <w:bottom w:val="single" w:sz="4" w:space="0" w:color="auto"/>
              <w:right w:val="single" w:sz="4" w:space="0" w:color="auto"/>
            </w:tcBorders>
            <w:hideMark/>
          </w:tcPr>
          <w:p w14:paraId="5FCF93B3" w14:textId="77777777" w:rsidR="00B607F4" w:rsidRDefault="00405F24">
            <w:pPr>
              <w:widowControl w:val="0"/>
              <w:jc w:val="center"/>
              <w:rPr>
                <w:sz w:val="22"/>
                <w:szCs w:val="22"/>
                <w:lang w:eastAsia="lt-LT"/>
              </w:rPr>
            </w:pPr>
            <w:r>
              <w:rPr>
                <w:sz w:val="22"/>
                <w:szCs w:val="22"/>
                <w:lang w:eastAsia="lt-LT"/>
              </w:rPr>
              <w:t>6</w:t>
            </w:r>
            <w:r>
              <w:rPr>
                <w:color w:val="000000"/>
                <w:sz w:val="22"/>
                <w:szCs w:val="22"/>
                <w:lang w:eastAsia="lt-LT"/>
              </w:rPr>
              <w:t xml:space="preserve"> procentai</w:t>
            </w:r>
          </w:p>
        </w:tc>
        <w:tc>
          <w:tcPr>
            <w:tcW w:w="1559" w:type="dxa"/>
            <w:tcBorders>
              <w:top w:val="single" w:sz="4" w:space="0" w:color="auto"/>
              <w:left w:val="single" w:sz="4" w:space="0" w:color="auto"/>
              <w:bottom w:val="single" w:sz="4" w:space="0" w:color="auto"/>
              <w:right w:val="single" w:sz="4" w:space="0" w:color="auto"/>
            </w:tcBorders>
            <w:hideMark/>
          </w:tcPr>
          <w:p w14:paraId="5FCF93B4" w14:textId="77777777" w:rsidR="00B607F4" w:rsidRDefault="00405F24">
            <w:pPr>
              <w:jc w:val="center"/>
              <w:rPr>
                <w:color w:val="000000"/>
                <w:sz w:val="22"/>
                <w:szCs w:val="22"/>
                <w:lang w:eastAsia="lt-LT"/>
              </w:rPr>
            </w:pPr>
            <w:r>
              <w:rPr>
                <w:color w:val="000000"/>
                <w:sz w:val="22"/>
                <w:szCs w:val="22"/>
                <w:lang w:eastAsia="lt-LT"/>
              </w:rPr>
              <w:t>11 procentų</w:t>
            </w:r>
          </w:p>
        </w:tc>
        <w:tc>
          <w:tcPr>
            <w:tcW w:w="2694" w:type="dxa"/>
            <w:tcBorders>
              <w:top w:val="single" w:sz="4" w:space="0" w:color="auto"/>
              <w:left w:val="single" w:sz="4" w:space="0" w:color="auto"/>
              <w:bottom w:val="single" w:sz="4" w:space="0" w:color="auto"/>
              <w:right w:val="single" w:sz="4" w:space="0" w:color="auto"/>
            </w:tcBorders>
            <w:hideMark/>
          </w:tcPr>
          <w:p w14:paraId="5FCF93B5" w14:textId="77777777" w:rsidR="00B607F4" w:rsidRDefault="00405F24">
            <w:pPr>
              <w:rPr>
                <w:sz w:val="22"/>
                <w:szCs w:val="22"/>
                <w:lang w:eastAsia="lt-LT"/>
              </w:rPr>
            </w:pPr>
            <w:r>
              <w:rPr>
                <w:sz w:val="22"/>
                <w:szCs w:val="22"/>
                <w:lang w:eastAsia="lt-LT"/>
              </w:rPr>
              <w:t>Lietuvos Respublikos švietimo ir mokslo ministerija, Informacinės visuomenės plėtros komitetas prie Lietuvos Respublikos susisiekimo ministerijos, Lietuvos Respublikos ūkio ministerija</w:t>
            </w:r>
          </w:p>
        </w:tc>
      </w:tr>
      <w:tr w:rsidR="00B607F4" w14:paraId="5FCF93BF" w14:textId="77777777">
        <w:trPr>
          <w:trHeight w:val="23"/>
        </w:trPr>
        <w:tc>
          <w:tcPr>
            <w:tcW w:w="567" w:type="dxa"/>
            <w:tcBorders>
              <w:top w:val="single" w:sz="4" w:space="0" w:color="auto"/>
              <w:left w:val="single" w:sz="4" w:space="0" w:color="auto"/>
              <w:bottom w:val="single" w:sz="4" w:space="0" w:color="auto"/>
              <w:right w:val="single" w:sz="4" w:space="0" w:color="auto"/>
            </w:tcBorders>
          </w:tcPr>
          <w:p w14:paraId="5FCF93B7" w14:textId="77777777" w:rsidR="00B607F4" w:rsidRDefault="00B607F4">
            <w:pPr>
              <w:jc w:val="center"/>
              <w:rPr>
                <w:sz w:val="22"/>
                <w:szCs w:val="22"/>
                <w:lang w:eastAsia="lt-LT"/>
              </w:rPr>
            </w:pPr>
          </w:p>
        </w:tc>
        <w:tc>
          <w:tcPr>
            <w:tcW w:w="3148" w:type="dxa"/>
            <w:tcBorders>
              <w:top w:val="single" w:sz="4" w:space="0" w:color="auto"/>
              <w:left w:val="single" w:sz="4" w:space="0" w:color="auto"/>
              <w:bottom w:val="single" w:sz="4" w:space="0" w:color="auto"/>
              <w:right w:val="single" w:sz="4" w:space="0" w:color="auto"/>
            </w:tcBorders>
          </w:tcPr>
          <w:p w14:paraId="5FCF93B8" w14:textId="77777777" w:rsidR="00B607F4" w:rsidRDefault="00B607F4">
            <w:pPr>
              <w:tabs>
                <w:tab w:val="left" w:pos="426"/>
                <w:tab w:val="left" w:pos="1260"/>
              </w:tabs>
              <w:rPr>
                <w:sz w:val="22"/>
                <w:szCs w:val="22"/>
                <w:lang w:eastAsia="lt-LT"/>
              </w:rPr>
            </w:pPr>
          </w:p>
        </w:tc>
        <w:tc>
          <w:tcPr>
            <w:tcW w:w="3543" w:type="dxa"/>
            <w:tcBorders>
              <w:top w:val="single" w:sz="4" w:space="0" w:color="auto"/>
              <w:left w:val="single" w:sz="4" w:space="0" w:color="auto"/>
              <w:bottom w:val="single" w:sz="4" w:space="0" w:color="auto"/>
              <w:right w:val="single" w:sz="4" w:space="0" w:color="auto"/>
            </w:tcBorders>
            <w:hideMark/>
          </w:tcPr>
          <w:p w14:paraId="5FCF93B9" w14:textId="77777777" w:rsidR="00B607F4" w:rsidRDefault="00B607F4">
            <w:pPr>
              <w:rPr>
                <w:sz w:val="8"/>
                <w:szCs w:val="8"/>
              </w:rPr>
            </w:pPr>
          </w:p>
          <w:p w14:paraId="5FCF93BA" w14:textId="77777777" w:rsidR="00B607F4" w:rsidRDefault="00405F24">
            <w:pPr>
              <w:rPr>
                <w:sz w:val="22"/>
                <w:szCs w:val="22"/>
                <w:lang w:eastAsia="lt-LT"/>
              </w:rPr>
            </w:pPr>
            <w:r>
              <w:rPr>
                <w:bCs/>
                <w:sz w:val="22"/>
                <w:szCs w:val="22"/>
                <w:lang w:eastAsia="lt-LT"/>
              </w:rPr>
              <w:t xml:space="preserve">1.3. Mokymosi visą gyvenimą vieta </w:t>
            </w:r>
            <w:r>
              <w:rPr>
                <w:sz w:val="22"/>
                <w:szCs w:val="22"/>
                <w:lang w:eastAsia="lt-LT"/>
              </w:rPr>
              <w:t>(</w:t>
            </w:r>
            <w:r>
              <w:rPr>
                <w:i/>
                <w:color w:val="000000"/>
                <w:sz w:val="22"/>
                <w:szCs w:val="22"/>
                <w:lang w:eastAsia="lt-LT"/>
              </w:rPr>
              <w:t>Eurostatas</w:t>
            </w:r>
            <w:r>
              <w:rPr>
                <w:color w:val="000000"/>
                <w:sz w:val="22"/>
                <w:szCs w:val="22"/>
                <w:lang w:eastAsia="lt-LT"/>
              </w:rPr>
              <w:t>)</w:t>
            </w:r>
          </w:p>
        </w:tc>
        <w:tc>
          <w:tcPr>
            <w:tcW w:w="1673" w:type="dxa"/>
            <w:tcBorders>
              <w:top w:val="single" w:sz="4" w:space="0" w:color="auto"/>
              <w:left w:val="single" w:sz="4" w:space="0" w:color="auto"/>
              <w:bottom w:val="single" w:sz="4" w:space="0" w:color="auto"/>
              <w:right w:val="single" w:sz="4" w:space="0" w:color="auto"/>
            </w:tcBorders>
            <w:hideMark/>
          </w:tcPr>
          <w:p w14:paraId="5FCF93BB" w14:textId="77777777" w:rsidR="00B607F4" w:rsidRDefault="00405F24">
            <w:pPr>
              <w:jc w:val="center"/>
              <w:rPr>
                <w:sz w:val="22"/>
                <w:szCs w:val="22"/>
                <w:lang w:eastAsia="lt-LT"/>
              </w:rPr>
            </w:pPr>
            <w:r>
              <w:rPr>
                <w:sz w:val="22"/>
                <w:szCs w:val="22"/>
                <w:lang w:eastAsia="lt-LT"/>
              </w:rPr>
              <w:t>22 vieta ES (2010)</w:t>
            </w:r>
          </w:p>
        </w:tc>
        <w:tc>
          <w:tcPr>
            <w:tcW w:w="1417" w:type="dxa"/>
            <w:tcBorders>
              <w:top w:val="single" w:sz="4" w:space="0" w:color="auto"/>
              <w:left w:val="single" w:sz="4" w:space="0" w:color="auto"/>
              <w:bottom w:val="single" w:sz="4" w:space="0" w:color="auto"/>
              <w:right w:val="single" w:sz="4" w:space="0" w:color="auto"/>
            </w:tcBorders>
            <w:hideMark/>
          </w:tcPr>
          <w:p w14:paraId="5FCF93BC" w14:textId="77777777" w:rsidR="00B607F4" w:rsidRDefault="00405F24">
            <w:pPr>
              <w:ind w:firstLine="50"/>
              <w:jc w:val="center"/>
              <w:rPr>
                <w:sz w:val="22"/>
                <w:szCs w:val="22"/>
                <w:lang w:eastAsia="lt-LT"/>
              </w:rPr>
            </w:pPr>
            <w:r>
              <w:rPr>
                <w:sz w:val="22"/>
                <w:szCs w:val="22"/>
                <w:lang w:eastAsia="lt-LT"/>
              </w:rPr>
              <w:t>20 vieta ES</w:t>
            </w:r>
          </w:p>
        </w:tc>
        <w:tc>
          <w:tcPr>
            <w:tcW w:w="1559" w:type="dxa"/>
            <w:tcBorders>
              <w:top w:val="single" w:sz="4" w:space="0" w:color="auto"/>
              <w:left w:val="single" w:sz="4" w:space="0" w:color="auto"/>
              <w:bottom w:val="single" w:sz="4" w:space="0" w:color="auto"/>
              <w:right w:val="single" w:sz="4" w:space="0" w:color="auto"/>
            </w:tcBorders>
            <w:hideMark/>
          </w:tcPr>
          <w:p w14:paraId="5FCF93BD" w14:textId="77777777" w:rsidR="00B607F4" w:rsidRDefault="00405F24">
            <w:pPr>
              <w:jc w:val="center"/>
              <w:rPr>
                <w:sz w:val="22"/>
                <w:szCs w:val="22"/>
                <w:lang w:eastAsia="lt-LT"/>
              </w:rPr>
            </w:pPr>
            <w:r>
              <w:rPr>
                <w:sz w:val="22"/>
                <w:szCs w:val="22"/>
                <w:lang w:eastAsia="lt-LT"/>
              </w:rPr>
              <w:t>ne žemesnė negu 18 vieta ES</w:t>
            </w:r>
          </w:p>
        </w:tc>
        <w:tc>
          <w:tcPr>
            <w:tcW w:w="2694" w:type="dxa"/>
            <w:tcBorders>
              <w:top w:val="single" w:sz="4" w:space="0" w:color="auto"/>
              <w:left w:val="single" w:sz="4" w:space="0" w:color="auto"/>
              <w:bottom w:val="single" w:sz="4" w:space="0" w:color="auto"/>
              <w:right w:val="single" w:sz="4" w:space="0" w:color="auto"/>
            </w:tcBorders>
            <w:hideMark/>
          </w:tcPr>
          <w:p w14:paraId="5FCF93BE" w14:textId="77777777" w:rsidR="00B607F4" w:rsidRDefault="00405F24">
            <w:pPr>
              <w:rPr>
                <w:sz w:val="22"/>
                <w:szCs w:val="22"/>
                <w:lang w:eastAsia="lt-LT"/>
              </w:rPr>
            </w:pPr>
            <w:r>
              <w:rPr>
                <w:sz w:val="22"/>
                <w:szCs w:val="22"/>
                <w:lang w:eastAsia="lt-LT"/>
              </w:rPr>
              <w:t>Lietuvos Respublikos švietimo ir mokslo ministerija</w:t>
            </w:r>
          </w:p>
        </w:tc>
      </w:tr>
      <w:tr w:rsidR="00B607F4" w14:paraId="5FCF93C7" w14:textId="77777777">
        <w:trPr>
          <w:trHeight w:val="23"/>
        </w:trPr>
        <w:tc>
          <w:tcPr>
            <w:tcW w:w="567" w:type="dxa"/>
            <w:tcBorders>
              <w:top w:val="single" w:sz="4" w:space="0" w:color="auto"/>
              <w:left w:val="single" w:sz="4" w:space="0" w:color="auto"/>
              <w:bottom w:val="single" w:sz="4" w:space="0" w:color="auto"/>
              <w:right w:val="single" w:sz="4" w:space="0" w:color="auto"/>
            </w:tcBorders>
            <w:hideMark/>
          </w:tcPr>
          <w:p w14:paraId="5FCF93C0" w14:textId="77777777" w:rsidR="00B607F4" w:rsidRDefault="00405F24">
            <w:pPr>
              <w:keepNext/>
              <w:jc w:val="center"/>
              <w:rPr>
                <w:sz w:val="22"/>
                <w:szCs w:val="22"/>
                <w:lang w:eastAsia="lt-LT"/>
              </w:rPr>
            </w:pPr>
            <w:r>
              <w:rPr>
                <w:sz w:val="22"/>
                <w:szCs w:val="22"/>
                <w:lang w:eastAsia="lt-LT"/>
              </w:rPr>
              <w:t>2.</w:t>
            </w:r>
          </w:p>
        </w:tc>
        <w:tc>
          <w:tcPr>
            <w:tcW w:w="3148" w:type="dxa"/>
            <w:tcBorders>
              <w:top w:val="single" w:sz="4" w:space="0" w:color="auto"/>
              <w:left w:val="single" w:sz="4" w:space="0" w:color="auto"/>
              <w:bottom w:val="single" w:sz="4" w:space="0" w:color="auto"/>
              <w:right w:val="single" w:sz="4" w:space="0" w:color="auto"/>
            </w:tcBorders>
            <w:hideMark/>
          </w:tcPr>
          <w:p w14:paraId="5FCF93C1" w14:textId="77777777" w:rsidR="00B607F4" w:rsidRDefault="00405F24">
            <w:pPr>
              <w:keepNext/>
              <w:tabs>
                <w:tab w:val="left" w:pos="426"/>
              </w:tabs>
              <w:rPr>
                <w:caps/>
                <w:color w:val="000000"/>
                <w:sz w:val="22"/>
                <w:szCs w:val="22"/>
                <w:lang w:eastAsia="en-GB"/>
              </w:rPr>
            </w:pPr>
            <w:r>
              <w:rPr>
                <w:color w:val="000000"/>
                <w:sz w:val="22"/>
                <w:szCs w:val="22"/>
                <w:lang w:eastAsia="en-GB"/>
              </w:rPr>
              <w:t>Programos pirmasis tikslas – sukurti ir išplėtoti darnią suaugusiųjų švietimo sistemą</w:t>
            </w:r>
          </w:p>
        </w:tc>
        <w:tc>
          <w:tcPr>
            <w:tcW w:w="3543" w:type="dxa"/>
            <w:tcBorders>
              <w:top w:val="single" w:sz="4" w:space="0" w:color="auto"/>
              <w:left w:val="single" w:sz="4" w:space="0" w:color="auto"/>
              <w:bottom w:val="single" w:sz="4" w:space="0" w:color="auto"/>
              <w:right w:val="single" w:sz="4" w:space="0" w:color="auto"/>
            </w:tcBorders>
            <w:hideMark/>
          </w:tcPr>
          <w:p w14:paraId="5FCF93C2" w14:textId="77777777" w:rsidR="00B607F4" w:rsidRDefault="00405F24">
            <w:pPr>
              <w:keepNext/>
              <w:rPr>
                <w:color w:val="000080"/>
                <w:sz w:val="22"/>
                <w:szCs w:val="22"/>
                <w:lang w:eastAsia="lt-LT"/>
              </w:rPr>
            </w:pPr>
            <w:r>
              <w:rPr>
                <w:color w:val="000000"/>
                <w:sz w:val="22"/>
                <w:szCs w:val="22"/>
                <w:lang w:eastAsia="lt-LT"/>
              </w:rPr>
              <w:t xml:space="preserve">2.1. 25–34 metų asmenų, kurie mokosi pagal formaliojo švietimo programas, dalis </w:t>
            </w:r>
            <w:r>
              <w:rPr>
                <w:sz w:val="22"/>
                <w:szCs w:val="22"/>
                <w:lang w:eastAsia="lt-LT"/>
              </w:rPr>
              <w:t>(</w:t>
            </w:r>
            <w:r>
              <w:rPr>
                <w:i/>
                <w:color w:val="000000"/>
                <w:sz w:val="22"/>
                <w:szCs w:val="22"/>
                <w:lang w:eastAsia="lt-LT"/>
              </w:rPr>
              <w:t>Eurostatas</w:t>
            </w:r>
            <w:r>
              <w:rPr>
                <w:color w:val="000000"/>
                <w:sz w:val="22"/>
                <w:szCs w:val="22"/>
                <w:lang w:eastAsia="lt-LT"/>
              </w:rPr>
              <w:t>)</w:t>
            </w:r>
          </w:p>
        </w:tc>
        <w:tc>
          <w:tcPr>
            <w:tcW w:w="1673" w:type="dxa"/>
            <w:tcBorders>
              <w:top w:val="single" w:sz="4" w:space="0" w:color="auto"/>
              <w:left w:val="single" w:sz="4" w:space="0" w:color="auto"/>
              <w:bottom w:val="single" w:sz="4" w:space="0" w:color="auto"/>
              <w:right w:val="single" w:sz="4" w:space="0" w:color="auto"/>
            </w:tcBorders>
            <w:hideMark/>
          </w:tcPr>
          <w:p w14:paraId="5FCF93C3" w14:textId="77777777" w:rsidR="00B607F4" w:rsidRDefault="00405F24">
            <w:pPr>
              <w:keepNext/>
              <w:jc w:val="center"/>
              <w:rPr>
                <w:sz w:val="22"/>
                <w:szCs w:val="22"/>
                <w:lang w:eastAsia="lt-LT"/>
              </w:rPr>
            </w:pPr>
            <w:r>
              <w:rPr>
                <w:color w:val="000000"/>
                <w:sz w:val="22"/>
                <w:szCs w:val="22"/>
                <w:lang w:eastAsia="lt-LT"/>
              </w:rPr>
              <w:t>6,9 procento (2011)</w:t>
            </w:r>
          </w:p>
        </w:tc>
        <w:tc>
          <w:tcPr>
            <w:tcW w:w="1417" w:type="dxa"/>
            <w:tcBorders>
              <w:top w:val="single" w:sz="4" w:space="0" w:color="auto"/>
              <w:left w:val="single" w:sz="4" w:space="0" w:color="auto"/>
              <w:bottom w:val="single" w:sz="4" w:space="0" w:color="auto"/>
              <w:right w:val="single" w:sz="4" w:space="0" w:color="auto"/>
            </w:tcBorders>
            <w:hideMark/>
          </w:tcPr>
          <w:p w14:paraId="5FCF93C4" w14:textId="77777777" w:rsidR="00B607F4" w:rsidRDefault="00405F24">
            <w:pPr>
              <w:keepNext/>
              <w:jc w:val="center"/>
              <w:rPr>
                <w:sz w:val="22"/>
                <w:szCs w:val="22"/>
                <w:lang w:eastAsia="lt-LT"/>
              </w:rPr>
            </w:pPr>
            <w:r>
              <w:rPr>
                <w:color w:val="000000"/>
                <w:sz w:val="22"/>
                <w:szCs w:val="22"/>
                <w:lang w:eastAsia="lt-LT"/>
              </w:rPr>
              <w:t>7,5 procento</w:t>
            </w:r>
          </w:p>
        </w:tc>
        <w:tc>
          <w:tcPr>
            <w:tcW w:w="1559" w:type="dxa"/>
            <w:tcBorders>
              <w:top w:val="single" w:sz="4" w:space="0" w:color="auto"/>
              <w:left w:val="single" w:sz="4" w:space="0" w:color="auto"/>
              <w:bottom w:val="single" w:sz="4" w:space="0" w:color="auto"/>
              <w:right w:val="single" w:sz="4" w:space="0" w:color="auto"/>
            </w:tcBorders>
            <w:hideMark/>
          </w:tcPr>
          <w:p w14:paraId="5FCF93C5" w14:textId="77777777" w:rsidR="00B607F4" w:rsidRDefault="00405F24">
            <w:pPr>
              <w:keepNext/>
              <w:jc w:val="center"/>
              <w:rPr>
                <w:sz w:val="22"/>
                <w:szCs w:val="22"/>
                <w:lang w:eastAsia="lt-LT"/>
              </w:rPr>
            </w:pPr>
            <w:r>
              <w:rPr>
                <w:color w:val="000000"/>
                <w:sz w:val="22"/>
                <w:szCs w:val="22"/>
                <w:lang w:eastAsia="lt-LT"/>
              </w:rPr>
              <w:t>8,5 procento</w:t>
            </w:r>
          </w:p>
        </w:tc>
        <w:tc>
          <w:tcPr>
            <w:tcW w:w="2694" w:type="dxa"/>
            <w:tcBorders>
              <w:top w:val="single" w:sz="4" w:space="0" w:color="auto"/>
              <w:left w:val="single" w:sz="4" w:space="0" w:color="auto"/>
              <w:bottom w:val="single" w:sz="4" w:space="0" w:color="auto"/>
              <w:right w:val="single" w:sz="4" w:space="0" w:color="auto"/>
            </w:tcBorders>
            <w:hideMark/>
          </w:tcPr>
          <w:p w14:paraId="5FCF93C6" w14:textId="77777777" w:rsidR="00B607F4" w:rsidRDefault="00405F24">
            <w:pPr>
              <w:keepNext/>
              <w:rPr>
                <w:sz w:val="22"/>
                <w:szCs w:val="22"/>
                <w:lang w:eastAsia="lt-LT"/>
              </w:rPr>
            </w:pPr>
            <w:r>
              <w:rPr>
                <w:sz w:val="22"/>
                <w:szCs w:val="22"/>
                <w:lang w:eastAsia="lt-LT"/>
              </w:rPr>
              <w:t>Lietuvos Respublikos švietimo ir mokslo ministerija</w:t>
            </w:r>
          </w:p>
        </w:tc>
      </w:tr>
      <w:tr w:rsidR="00B607F4" w14:paraId="5FCF93CF" w14:textId="77777777">
        <w:trPr>
          <w:trHeight w:val="23"/>
        </w:trPr>
        <w:tc>
          <w:tcPr>
            <w:tcW w:w="567" w:type="dxa"/>
            <w:tcBorders>
              <w:top w:val="single" w:sz="4" w:space="0" w:color="auto"/>
              <w:left w:val="single" w:sz="4" w:space="0" w:color="auto"/>
              <w:bottom w:val="single" w:sz="4" w:space="0" w:color="auto"/>
              <w:right w:val="single" w:sz="4" w:space="0" w:color="auto"/>
            </w:tcBorders>
          </w:tcPr>
          <w:p w14:paraId="5FCF93C8" w14:textId="77777777" w:rsidR="00B607F4" w:rsidRDefault="00B607F4">
            <w:pPr>
              <w:jc w:val="center"/>
              <w:rPr>
                <w:sz w:val="22"/>
                <w:szCs w:val="22"/>
                <w:lang w:eastAsia="lt-LT"/>
              </w:rPr>
            </w:pPr>
          </w:p>
        </w:tc>
        <w:tc>
          <w:tcPr>
            <w:tcW w:w="3148" w:type="dxa"/>
            <w:tcBorders>
              <w:top w:val="single" w:sz="4" w:space="0" w:color="auto"/>
              <w:left w:val="single" w:sz="4" w:space="0" w:color="auto"/>
              <w:bottom w:val="single" w:sz="4" w:space="0" w:color="auto"/>
              <w:right w:val="single" w:sz="4" w:space="0" w:color="auto"/>
            </w:tcBorders>
          </w:tcPr>
          <w:p w14:paraId="5FCF93C9" w14:textId="77777777" w:rsidR="00B607F4" w:rsidRDefault="00B607F4">
            <w:pPr>
              <w:tabs>
                <w:tab w:val="left" w:pos="426"/>
              </w:tabs>
              <w:rPr>
                <w:b/>
                <w:caps/>
                <w:color w:val="FF0000"/>
                <w:sz w:val="22"/>
                <w:szCs w:val="22"/>
                <w:lang w:eastAsia="en-GB"/>
              </w:rPr>
            </w:pPr>
          </w:p>
        </w:tc>
        <w:tc>
          <w:tcPr>
            <w:tcW w:w="3543" w:type="dxa"/>
            <w:tcBorders>
              <w:top w:val="single" w:sz="4" w:space="0" w:color="auto"/>
              <w:left w:val="single" w:sz="4" w:space="0" w:color="auto"/>
              <w:bottom w:val="single" w:sz="4" w:space="0" w:color="auto"/>
              <w:right w:val="single" w:sz="4" w:space="0" w:color="auto"/>
            </w:tcBorders>
            <w:hideMark/>
          </w:tcPr>
          <w:p w14:paraId="5FCF93CA" w14:textId="77777777" w:rsidR="00B607F4" w:rsidRDefault="00405F24">
            <w:pPr>
              <w:rPr>
                <w:sz w:val="22"/>
                <w:szCs w:val="22"/>
                <w:lang w:eastAsia="lt-LT"/>
              </w:rPr>
            </w:pPr>
            <w:r>
              <w:rPr>
                <w:sz w:val="22"/>
                <w:szCs w:val="22"/>
                <w:lang w:eastAsia="lt-LT"/>
              </w:rPr>
              <w:t>2.2. Aukštųjų mokyklų, kuriose įdiegtas neformaliuoju būdu įgytų kompetencijų formalizavimo sistemos modelis, dalis</w:t>
            </w:r>
          </w:p>
        </w:tc>
        <w:tc>
          <w:tcPr>
            <w:tcW w:w="1673" w:type="dxa"/>
            <w:tcBorders>
              <w:top w:val="single" w:sz="4" w:space="0" w:color="auto"/>
              <w:left w:val="single" w:sz="4" w:space="0" w:color="auto"/>
              <w:bottom w:val="single" w:sz="4" w:space="0" w:color="auto"/>
              <w:right w:val="single" w:sz="4" w:space="0" w:color="auto"/>
            </w:tcBorders>
            <w:hideMark/>
          </w:tcPr>
          <w:p w14:paraId="5FCF93CB" w14:textId="77777777" w:rsidR="00B607F4" w:rsidRDefault="00405F24">
            <w:pPr>
              <w:jc w:val="center"/>
              <w:rPr>
                <w:sz w:val="22"/>
                <w:szCs w:val="22"/>
                <w:lang w:eastAsia="lt-LT"/>
              </w:rPr>
            </w:pPr>
            <w:r>
              <w:rPr>
                <w:sz w:val="22"/>
                <w:szCs w:val="22"/>
                <w:lang w:eastAsia="lt-LT"/>
              </w:rPr>
              <w:t>12</w:t>
            </w:r>
            <w:r>
              <w:rPr>
                <w:color w:val="000000"/>
                <w:sz w:val="22"/>
                <w:szCs w:val="22"/>
                <w:lang w:eastAsia="lt-LT"/>
              </w:rPr>
              <w:t xml:space="preserve"> procentų </w:t>
            </w:r>
            <w:r>
              <w:rPr>
                <w:sz w:val="22"/>
                <w:szCs w:val="22"/>
                <w:lang w:eastAsia="lt-LT"/>
              </w:rPr>
              <w:t>(2012)</w:t>
            </w:r>
          </w:p>
        </w:tc>
        <w:tc>
          <w:tcPr>
            <w:tcW w:w="1417" w:type="dxa"/>
            <w:tcBorders>
              <w:top w:val="single" w:sz="4" w:space="0" w:color="auto"/>
              <w:left w:val="single" w:sz="4" w:space="0" w:color="auto"/>
              <w:bottom w:val="single" w:sz="4" w:space="0" w:color="auto"/>
              <w:right w:val="single" w:sz="4" w:space="0" w:color="auto"/>
            </w:tcBorders>
            <w:hideMark/>
          </w:tcPr>
          <w:p w14:paraId="5FCF93CC" w14:textId="77777777" w:rsidR="00B607F4" w:rsidRDefault="00405F24">
            <w:pPr>
              <w:jc w:val="center"/>
              <w:rPr>
                <w:sz w:val="22"/>
                <w:szCs w:val="22"/>
                <w:lang w:eastAsia="lt-LT"/>
              </w:rPr>
            </w:pPr>
            <w:r>
              <w:rPr>
                <w:sz w:val="22"/>
                <w:szCs w:val="22"/>
                <w:lang w:eastAsia="lt-LT"/>
              </w:rPr>
              <w:t>90</w:t>
            </w:r>
            <w:r>
              <w:rPr>
                <w:color w:val="000000"/>
                <w:sz w:val="22"/>
                <w:szCs w:val="22"/>
                <w:lang w:eastAsia="lt-LT"/>
              </w:rPr>
              <w:t xml:space="preserve"> procentų</w:t>
            </w:r>
          </w:p>
        </w:tc>
        <w:tc>
          <w:tcPr>
            <w:tcW w:w="1559" w:type="dxa"/>
            <w:tcBorders>
              <w:top w:val="single" w:sz="4" w:space="0" w:color="auto"/>
              <w:left w:val="single" w:sz="4" w:space="0" w:color="auto"/>
              <w:bottom w:val="single" w:sz="4" w:space="0" w:color="auto"/>
              <w:right w:val="single" w:sz="4" w:space="0" w:color="auto"/>
            </w:tcBorders>
            <w:hideMark/>
          </w:tcPr>
          <w:p w14:paraId="5FCF93CD" w14:textId="77777777" w:rsidR="00B607F4" w:rsidRDefault="00405F24">
            <w:pPr>
              <w:jc w:val="center"/>
              <w:rPr>
                <w:sz w:val="22"/>
                <w:szCs w:val="22"/>
                <w:lang w:eastAsia="lt-LT"/>
              </w:rPr>
            </w:pPr>
            <w:r>
              <w:rPr>
                <w:sz w:val="22"/>
                <w:szCs w:val="22"/>
                <w:lang w:eastAsia="lt-LT"/>
              </w:rPr>
              <w:t>100</w:t>
            </w:r>
            <w:r>
              <w:rPr>
                <w:color w:val="000000"/>
                <w:sz w:val="22"/>
                <w:szCs w:val="22"/>
                <w:lang w:eastAsia="lt-LT"/>
              </w:rPr>
              <w:t xml:space="preserve"> procentų</w:t>
            </w:r>
          </w:p>
        </w:tc>
        <w:tc>
          <w:tcPr>
            <w:tcW w:w="2694" w:type="dxa"/>
            <w:tcBorders>
              <w:top w:val="single" w:sz="4" w:space="0" w:color="auto"/>
              <w:left w:val="single" w:sz="4" w:space="0" w:color="auto"/>
              <w:bottom w:val="single" w:sz="4" w:space="0" w:color="auto"/>
              <w:right w:val="single" w:sz="4" w:space="0" w:color="auto"/>
            </w:tcBorders>
            <w:hideMark/>
          </w:tcPr>
          <w:p w14:paraId="5FCF93CE" w14:textId="77777777" w:rsidR="00B607F4" w:rsidRDefault="00405F24">
            <w:pPr>
              <w:rPr>
                <w:sz w:val="22"/>
                <w:szCs w:val="22"/>
                <w:lang w:eastAsia="lt-LT"/>
              </w:rPr>
            </w:pPr>
            <w:r>
              <w:rPr>
                <w:sz w:val="22"/>
                <w:szCs w:val="22"/>
                <w:lang w:eastAsia="lt-LT"/>
              </w:rPr>
              <w:t>Lietuvos Respublikos švietimo ir mokslo ministerija</w:t>
            </w:r>
          </w:p>
        </w:tc>
      </w:tr>
      <w:tr w:rsidR="00B607F4" w14:paraId="5FCF93D8" w14:textId="77777777">
        <w:trPr>
          <w:trHeight w:val="23"/>
        </w:trPr>
        <w:tc>
          <w:tcPr>
            <w:tcW w:w="567" w:type="dxa"/>
            <w:tcBorders>
              <w:top w:val="single" w:sz="4" w:space="0" w:color="auto"/>
              <w:left w:val="single" w:sz="4" w:space="0" w:color="auto"/>
              <w:bottom w:val="single" w:sz="4" w:space="0" w:color="auto"/>
              <w:right w:val="single" w:sz="4" w:space="0" w:color="auto"/>
            </w:tcBorders>
          </w:tcPr>
          <w:p w14:paraId="5FCF93D0" w14:textId="77777777" w:rsidR="00B607F4" w:rsidRDefault="00B607F4">
            <w:pPr>
              <w:jc w:val="center"/>
              <w:rPr>
                <w:sz w:val="22"/>
                <w:szCs w:val="22"/>
                <w:lang w:eastAsia="lt-LT"/>
              </w:rPr>
            </w:pPr>
          </w:p>
        </w:tc>
        <w:tc>
          <w:tcPr>
            <w:tcW w:w="3148" w:type="dxa"/>
            <w:tcBorders>
              <w:top w:val="single" w:sz="4" w:space="0" w:color="auto"/>
              <w:left w:val="single" w:sz="4" w:space="0" w:color="auto"/>
              <w:bottom w:val="single" w:sz="4" w:space="0" w:color="auto"/>
              <w:right w:val="single" w:sz="4" w:space="0" w:color="auto"/>
            </w:tcBorders>
          </w:tcPr>
          <w:p w14:paraId="5FCF93D1" w14:textId="77777777" w:rsidR="00B607F4" w:rsidRDefault="00B607F4">
            <w:pPr>
              <w:keepNext/>
              <w:tabs>
                <w:tab w:val="left" w:pos="426"/>
              </w:tabs>
              <w:rPr>
                <w:b/>
                <w:caps/>
                <w:color w:val="FF0000"/>
                <w:sz w:val="22"/>
                <w:szCs w:val="22"/>
                <w:lang w:eastAsia="en-GB"/>
              </w:rPr>
            </w:pPr>
          </w:p>
        </w:tc>
        <w:tc>
          <w:tcPr>
            <w:tcW w:w="3543" w:type="dxa"/>
            <w:tcBorders>
              <w:top w:val="single" w:sz="4" w:space="0" w:color="auto"/>
              <w:left w:val="single" w:sz="4" w:space="0" w:color="auto"/>
              <w:bottom w:val="single" w:sz="4" w:space="0" w:color="auto"/>
              <w:right w:val="single" w:sz="4" w:space="0" w:color="auto"/>
            </w:tcBorders>
            <w:hideMark/>
          </w:tcPr>
          <w:p w14:paraId="5FCF93D2" w14:textId="77777777" w:rsidR="00B607F4" w:rsidRDefault="00B607F4">
            <w:pPr>
              <w:rPr>
                <w:sz w:val="8"/>
                <w:szCs w:val="8"/>
              </w:rPr>
            </w:pPr>
          </w:p>
          <w:p w14:paraId="5FCF93D3" w14:textId="77777777" w:rsidR="00B607F4" w:rsidRDefault="00405F24">
            <w:pPr>
              <w:rPr>
                <w:bCs/>
                <w:sz w:val="22"/>
                <w:szCs w:val="22"/>
                <w:lang w:eastAsia="lt-LT"/>
              </w:rPr>
            </w:pPr>
            <w:r>
              <w:rPr>
                <w:sz w:val="22"/>
                <w:szCs w:val="22"/>
                <w:lang w:eastAsia="lt-LT"/>
              </w:rPr>
              <w:t xml:space="preserve">2.3. Neformaliojo suaugusiųjų švietimo ir tęstinio mokymosi koordinatorių savivaldybėse dalis </w:t>
            </w:r>
            <w:r>
              <w:rPr>
                <w:color w:val="000000"/>
                <w:sz w:val="22"/>
                <w:szCs w:val="22"/>
                <w:lang w:eastAsia="lt-LT"/>
              </w:rPr>
              <w:t>(Švietimo valdymo informacinė sistema)</w:t>
            </w:r>
          </w:p>
        </w:tc>
        <w:tc>
          <w:tcPr>
            <w:tcW w:w="1673" w:type="dxa"/>
            <w:tcBorders>
              <w:top w:val="single" w:sz="4" w:space="0" w:color="auto"/>
              <w:left w:val="single" w:sz="4" w:space="0" w:color="auto"/>
              <w:bottom w:val="single" w:sz="4" w:space="0" w:color="auto"/>
              <w:right w:val="single" w:sz="4" w:space="0" w:color="auto"/>
            </w:tcBorders>
            <w:hideMark/>
          </w:tcPr>
          <w:p w14:paraId="5FCF93D4" w14:textId="77777777" w:rsidR="00B607F4" w:rsidRDefault="00405F24">
            <w:pPr>
              <w:jc w:val="center"/>
              <w:rPr>
                <w:sz w:val="22"/>
                <w:szCs w:val="22"/>
                <w:lang w:eastAsia="lt-LT"/>
              </w:rPr>
            </w:pPr>
            <w:r>
              <w:rPr>
                <w:sz w:val="22"/>
                <w:szCs w:val="22"/>
                <w:lang w:eastAsia="lt-LT"/>
              </w:rPr>
              <w:t>5</w:t>
            </w:r>
            <w:r>
              <w:rPr>
                <w:color w:val="000000"/>
                <w:sz w:val="22"/>
                <w:szCs w:val="22"/>
                <w:lang w:eastAsia="lt-LT"/>
              </w:rPr>
              <w:t xml:space="preserve"> procentai (2015)</w:t>
            </w:r>
          </w:p>
        </w:tc>
        <w:tc>
          <w:tcPr>
            <w:tcW w:w="1417" w:type="dxa"/>
            <w:tcBorders>
              <w:top w:val="single" w:sz="4" w:space="0" w:color="auto"/>
              <w:left w:val="single" w:sz="4" w:space="0" w:color="auto"/>
              <w:bottom w:val="single" w:sz="4" w:space="0" w:color="auto"/>
              <w:right w:val="single" w:sz="4" w:space="0" w:color="auto"/>
            </w:tcBorders>
            <w:hideMark/>
          </w:tcPr>
          <w:p w14:paraId="5FCF93D5" w14:textId="77777777" w:rsidR="00B607F4" w:rsidRDefault="00405F24">
            <w:pPr>
              <w:jc w:val="center"/>
              <w:rPr>
                <w:sz w:val="22"/>
                <w:szCs w:val="22"/>
                <w:lang w:eastAsia="lt-LT"/>
              </w:rPr>
            </w:pPr>
            <w:r>
              <w:rPr>
                <w:sz w:val="22"/>
                <w:szCs w:val="22"/>
                <w:lang w:eastAsia="lt-LT"/>
              </w:rPr>
              <w:t>85</w:t>
            </w:r>
            <w:r>
              <w:rPr>
                <w:color w:val="000000"/>
                <w:sz w:val="22"/>
                <w:szCs w:val="22"/>
                <w:lang w:eastAsia="lt-LT"/>
              </w:rPr>
              <w:t xml:space="preserve"> procentai</w:t>
            </w:r>
          </w:p>
        </w:tc>
        <w:tc>
          <w:tcPr>
            <w:tcW w:w="1559" w:type="dxa"/>
            <w:tcBorders>
              <w:top w:val="single" w:sz="4" w:space="0" w:color="auto"/>
              <w:left w:val="single" w:sz="4" w:space="0" w:color="auto"/>
              <w:bottom w:val="single" w:sz="4" w:space="0" w:color="auto"/>
              <w:right w:val="single" w:sz="4" w:space="0" w:color="auto"/>
            </w:tcBorders>
            <w:hideMark/>
          </w:tcPr>
          <w:p w14:paraId="5FCF93D6" w14:textId="77777777" w:rsidR="00B607F4" w:rsidRDefault="00405F24">
            <w:pPr>
              <w:jc w:val="center"/>
              <w:rPr>
                <w:sz w:val="22"/>
                <w:szCs w:val="22"/>
                <w:lang w:eastAsia="lt-LT"/>
              </w:rPr>
            </w:pPr>
            <w:r>
              <w:rPr>
                <w:sz w:val="22"/>
                <w:szCs w:val="22"/>
                <w:lang w:eastAsia="lt-LT"/>
              </w:rPr>
              <w:t xml:space="preserve">100 </w:t>
            </w:r>
            <w:r>
              <w:rPr>
                <w:color w:val="000000"/>
                <w:sz w:val="22"/>
                <w:szCs w:val="22"/>
                <w:lang w:eastAsia="lt-LT"/>
              </w:rPr>
              <w:t>procentų</w:t>
            </w:r>
          </w:p>
        </w:tc>
        <w:tc>
          <w:tcPr>
            <w:tcW w:w="2694" w:type="dxa"/>
            <w:tcBorders>
              <w:top w:val="single" w:sz="4" w:space="0" w:color="auto"/>
              <w:left w:val="single" w:sz="4" w:space="0" w:color="auto"/>
              <w:bottom w:val="single" w:sz="4" w:space="0" w:color="auto"/>
              <w:right w:val="single" w:sz="4" w:space="0" w:color="auto"/>
            </w:tcBorders>
            <w:hideMark/>
          </w:tcPr>
          <w:p w14:paraId="5FCF93D7" w14:textId="77777777" w:rsidR="00B607F4" w:rsidRDefault="00405F24">
            <w:pPr>
              <w:rPr>
                <w:sz w:val="22"/>
                <w:szCs w:val="22"/>
                <w:lang w:eastAsia="lt-LT"/>
              </w:rPr>
            </w:pPr>
            <w:r>
              <w:rPr>
                <w:sz w:val="22"/>
                <w:szCs w:val="22"/>
                <w:lang w:eastAsia="lt-LT"/>
              </w:rPr>
              <w:t>Lietuvos Respublikos švietimo ir mokslo ministerija, Lietuvos Respublikos vidaus reikalų ministerija</w:t>
            </w:r>
          </w:p>
        </w:tc>
      </w:tr>
      <w:tr w:rsidR="00B607F4" w14:paraId="5FCF93E0" w14:textId="77777777">
        <w:trPr>
          <w:trHeight w:val="23"/>
        </w:trPr>
        <w:tc>
          <w:tcPr>
            <w:tcW w:w="567" w:type="dxa"/>
            <w:tcBorders>
              <w:top w:val="single" w:sz="4" w:space="0" w:color="auto"/>
              <w:left w:val="single" w:sz="4" w:space="0" w:color="auto"/>
              <w:bottom w:val="single" w:sz="4" w:space="0" w:color="auto"/>
              <w:right w:val="single" w:sz="4" w:space="0" w:color="auto"/>
            </w:tcBorders>
            <w:hideMark/>
          </w:tcPr>
          <w:p w14:paraId="5FCF93D9" w14:textId="77777777" w:rsidR="00B607F4" w:rsidRDefault="00405F24">
            <w:pPr>
              <w:jc w:val="center"/>
              <w:rPr>
                <w:sz w:val="22"/>
                <w:szCs w:val="22"/>
                <w:lang w:eastAsia="lt-LT"/>
              </w:rPr>
            </w:pPr>
            <w:r>
              <w:rPr>
                <w:sz w:val="22"/>
                <w:szCs w:val="22"/>
                <w:lang w:eastAsia="lt-LT"/>
              </w:rPr>
              <w:t>3.</w:t>
            </w:r>
          </w:p>
        </w:tc>
        <w:tc>
          <w:tcPr>
            <w:tcW w:w="3148" w:type="dxa"/>
            <w:tcBorders>
              <w:top w:val="single" w:sz="4" w:space="0" w:color="auto"/>
              <w:left w:val="single" w:sz="4" w:space="0" w:color="auto"/>
              <w:bottom w:val="single" w:sz="4" w:space="0" w:color="auto"/>
              <w:right w:val="single" w:sz="4" w:space="0" w:color="auto"/>
            </w:tcBorders>
            <w:hideMark/>
          </w:tcPr>
          <w:p w14:paraId="5FCF93DA" w14:textId="77777777" w:rsidR="00B607F4" w:rsidRDefault="00405F24">
            <w:pPr>
              <w:keepNext/>
              <w:tabs>
                <w:tab w:val="left" w:pos="426"/>
              </w:tabs>
              <w:rPr>
                <w:caps/>
                <w:color w:val="FF0000"/>
                <w:sz w:val="22"/>
                <w:szCs w:val="22"/>
                <w:lang w:eastAsia="en-GB"/>
              </w:rPr>
            </w:pPr>
            <w:r>
              <w:rPr>
                <w:color w:val="000000"/>
                <w:sz w:val="22"/>
                <w:szCs w:val="22"/>
                <w:lang w:eastAsia="en-GB"/>
              </w:rPr>
              <w:t>Programos antrasis tikslas – suderinti mokymąsi visą gyvenimą su ūkio ir visuomenės poreikiais</w:t>
            </w:r>
          </w:p>
        </w:tc>
        <w:tc>
          <w:tcPr>
            <w:tcW w:w="3543" w:type="dxa"/>
            <w:tcBorders>
              <w:top w:val="single" w:sz="4" w:space="0" w:color="auto"/>
              <w:left w:val="single" w:sz="4" w:space="0" w:color="auto"/>
              <w:bottom w:val="single" w:sz="4" w:space="0" w:color="auto"/>
              <w:right w:val="single" w:sz="4" w:space="0" w:color="auto"/>
            </w:tcBorders>
            <w:hideMark/>
          </w:tcPr>
          <w:p w14:paraId="5FCF93DB" w14:textId="77777777" w:rsidR="00B607F4" w:rsidRDefault="00405F24">
            <w:pPr>
              <w:rPr>
                <w:sz w:val="22"/>
                <w:szCs w:val="22"/>
                <w:lang w:eastAsia="lt-LT"/>
              </w:rPr>
            </w:pPr>
            <w:r>
              <w:rPr>
                <w:sz w:val="22"/>
                <w:szCs w:val="22"/>
                <w:lang w:eastAsia="lt-LT"/>
              </w:rPr>
              <w:t>3.1. Įsidarbinančių 25–64 metų asmenų dalis (</w:t>
            </w:r>
            <w:r>
              <w:rPr>
                <w:i/>
                <w:color w:val="000000"/>
                <w:sz w:val="22"/>
                <w:szCs w:val="22"/>
                <w:lang w:eastAsia="lt-LT"/>
              </w:rPr>
              <w:t>Eurostatas</w:t>
            </w:r>
            <w:r>
              <w:rPr>
                <w:color w:val="000000"/>
                <w:sz w:val="22"/>
                <w:szCs w:val="22"/>
                <w:lang w:eastAsia="lt-LT"/>
              </w:rPr>
              <w:t>)</w:t>
            </w:r>
          </w:p>
        </w:tc>
        <w:tc>
          <w:tcPr>
            <w:tcW w:w="1673" w:type="dxa"/>
            <w:tcBorders>
              <w:top w:val="single" w:sz="4" w:space="0" w:color="auto"/>
              <w:left w:val="single" w:sz="4" w:space="0" w:color="auto"/>
              <w:bottom w:val="single" w:sz="4" w:space="0" w:color="auto"/>
              <w:right w:val="single" w:sz="4" w:space="0" w:color="auto"/>
            </w:tcBorders>
            <w:hideMark/>
          </w:tcPr>
          <w:p w14:paraId="5FCF93DC" w14:textId="77777777" w:rsidR="00B607F4" w:rsidRDefault="00405F24">
            <w:pPr>
              <w:jc w:val="center"/>
              <w:rPr>
                <w:sz w:val="22"/>
                <w:szCs w:val="22"/>
                <w:lang w:eastAsia="lt-LT"/>
              </w:rPr>
            </w:pPr>
            <w:r>
              <w:rPr>
                <w:sz w:val="22"/>
                <w:szCs w:val="22"/>
                <w:lang w:eastAsia="lt-LT"/>
              </w:rPr>
              <w:t>6,5</w:t>
            </w:r>
            <w:r>
              <w:rPr>
                <w:color w:val="000000"/>
                <w:sz w:val="22"/>
                <w:szCs w:val="22"/>
                <w:lang w:eastAsia="lt-LT"/>
              </w:rPr>
              <w:t xml:space="preserve"> procento </w:t>
            </w:r>
            <w:r>
              <w:rPr>
                <w:sz w:val="22"/>
                <w:szCs w:val="22"/>
                <w:lang w:eastAsia="lt-LT"/>
              </w:rPr>
              <w:t>(2010)</w:t>
            </w:r>
          </w:p>
        </w:tc>
        <w:tc>
          <w:tcPr>
            <w:tcW w:w="1417" w:type="dxa"/>
            <w:tcBorders>
              <w:top w:val="single" w:sz="4" w:space="0" w:color="auto"/>
              <w:left w:val="single" w:sz="4" w:space="0" w:color="auto"/>
              <w:bottom w:val="single" w:sz="4" w:space="0" w:color="auto"/>
              <w:right w:val="single" w:sz="4" w:space="0" w:color="auto"/>
            </w:tcBorders>
            <w:hideMark/>
          </w:tcPr>
          <w:p w14:paraId="5FCF93DD" w14:textId="77777777" w:rsidR="00B607F4" w:rsidRDefault="00405F24">
            <w:pPr>
              <w:jc w:val="center"/>
              <w:rPr>
                <w:sz w:val="22"/>
                <w:szCs w:val="22"/>
                <w:lang w:eastAsia="lt-LT"/>
              </w:rPr>
            </w:pPr>
            <w:r>
              <w:rPr>
                <w:sz w:val="22"/>
                <w:szCs w:val="22"/>
                <w:lang w:eastAsia="lt-LT"/>
              </w:rPr>
              <w:t>9</w:t>
            </w:r>
            <w:r>
              <w:rPr>
                <w:color w:val="000000"/>
                <w:sz w:val="22"/>
                <w:szCs w:val="22"/>
                <w:lang w:eastAsia="lt-LT"/>
              </w:rPr>
              <w:t xml:space="preserve"> procentai</w:t>
            </w:r>
          </w:p>
        </w:tc>
        <w:tc>
          <w:tcPr>
            <w:tcW w:w="1559" w:type="dxa"/>
            <w:tcBorders>
              <w:top w:val="single" w:sz="4" w:space="0" w:color="auto"/>
              <w:left w:val="single" w:sz="4" w:space="0" w:color="auto"/>
              <w:bottom w:val="single" w:sz="4" w:space="0" w:color="auto"/>
              <w:right w:val="single" w:sz="4" w:space="0" w:color="auto"/>
            </w:tcBorders>
            <w:hideMark/>
          </w:tcPr>
          <w:p w14:paraId="5FCF93DE" w14:textId="77777777" w:rsidR="00B607F4" w:rsidRDefault="00405F24">
            <w:pPr>
              <w:jc w:val="center"/>
              <w:rPr>
                <w:sz w:val="22"/>
                <w:szCs w:val="22"/>
                <w:lang w:eastAsia="lt-LT"/>
              </w:rPr>
            </w:pPr>
            <w:r>
              <w:rPr>
                <w:sz w:val="22"/>
                <w:szCs w:val="22"/>
                <w:lang w:eastAsia="lt-LT"/>
              </w:rPr>
              <w:t>11</w:t>
            </w:r>
            <w:r>
              <w:rPr>
                <w:color w:val="000000"/>
                <w:sz w:val="22"/>
                <w:szCs w:val="22"/>
                <w:lang w:eastAsia="lt-LT"/>
              </w:rPr>
              <w:t xml:space="preserve"> procentų</w:t>
            </w:r>
          </w:p>
        </w:tc>
        <w:tc>
          <w:tcPr>
            <w:tcW w:w="2694" w:type="dxa"/>
            <w:tcBorders>
              <w:top w:val="single" w:sz="4" w:space="0" w:color="auto"/>
              <w:left w:val="single" w:sz="4" w:space="0" w:color="auto"/>
              <w:bottom w:val="single" w:sz="4" w:space="0" w:color="auto"/>
              <w:right w:val="single" w:sz="4" w:space="0" w:color="auto"/>
            </w:tcBorders>
            <w:hideMark/>
          </w:tcPr>
          <w:p w14:paraId="5FCF93DF" w14:textId="77777777" w:rsidR="00B607F4" w:rsidRDefault="00405F24">
            <w:pPr>
              <w:rPr>
                <w:sz w:val="22"/>
                <w:szCs w:val="22"/>
                <w:lang w:eastAsia="lt-LT"/>
              </w:rPr>
            </w:pPr>
            <w:r>
              <w:rPr>
                <w:sz w:val="22"/>
                <w:szCs w:val="22"/>
                <w:lang w:eastAsia="lt-LT"/>
              </w:rPr>
              <w:t>Lietuvos Respublikos švietimo ir mokslo ministerija</w:t>
            </w:r>
          </w:p>
        </w:tc>
      </w:tr>
      <w:tr w:rsidR="00B607F4" w14:paraId="5FCF93E8" w14:textId="77777777">
        <w:trPr>
          <w:trHeight w:val="23"/>
        </w:trPr>
        <w:tc>
          <w:tcPr>
            <w:tcW w:w="567" w:type="dxa"/>
            <w:tcBorders>
              <w:top w:val="single" w:sz="4" w:space="0" w:color="auto"/>
              <w:left w:val="single" w:sz="4" w:space="0" w:color="auto"/>
              <w:bottom w:val="single" w:sz="4" w:space="0" w:color="auto"/>
              <w:right w:val="single" w:sz="4" w:space="0" w:color="auto"/>
            </w:tcBorders>
          </w:tcPr>
          <w:p w14:paraId="5FCF93E1" w14:textId="77777777" w:rsidR="00B607F4" w:rsidRDefault="00B607F4">
            <w:pPr>
              <w:jc w:val="center"/>
              <w:rPr>
                <w:sz w:val="22"/>
                <w:szCs w:val="22"/>
                <w:lang w:eastAsia="lt-LT"/>
              </w:rPr>
            </w:pPr>
          </w:p>
        </w:tc>
        <w:tc>
          <w:tcPr>
            <w:tcW w:w="3148" w:type="dxa"/>
            <w:tcBorders>
              <w:top w:val="single" w:sz="4" w:space="0" w:color="auto"/>
              <w:left w:val="single" w:sz="4" w:space="0" w:color="auto"/>
              <w:bottom w:val="single" w:sz="4" w:space="0" w:color="auto"/>
              <w:right w:val="single" w:sz="4" w:space="0" w:color="auto"/>
            </w:tcBorders>
          </w:tcPr>
          <w:p w14:paraId="5FCF93E2" w14:textId="77777777" w:rsidR="00B607F4" w:rsidRDefault="00B607F4">
            <w:pPr>
              <w:keepNext/>
              <w:tabs>
                <w:tab w:val="left" w:pos="426"/>
              </w:tabs>
              <w:rPr>
                <w:b/>
                <w:caps/>
                <w:color w:val="FF0000"/>
                <w:sz w:val="22"/>
                <w:szCs w:val="22"/>
                <w:lang w:eastAsia="en-GB"/>
              </w:rPr>
            </w:pPr>
          </w:p>
        </w:tc>
        <w:tc>
          <w:tcPr>
            <w:tcW w:w="3543" w:type="dxa"/>
            <w:tcBorders>
              <w:top w:val="single" w:sz="4" w:space="0" w:color="auto"/>
              <w:left w:val="single" w:sz="4" w:space="0" w:color="auto"/>
              <w:bottom w:val="single" w:sz="4" w:space="0" w:color="auto"/>
              <w:right w:val="single" w:sz="4" w:space="0" w:color="auto"/>
            </w:tcBorders>
            <w:hideMark/>
          </w:tcPr>
          <w:p w14:paraId="5FCF93E3" w14:textId="77777777" w:rsidR="00B607F4" w:rsidRDefault="00405F24">
            <w:pPr>
              <w:rPr>
                <w:sz w:val="22"/>
                <w:szCs w:val="22"/>
                <w:lang w:eastAsia="lt-LT"/>
              </w:rPr>
            </w:pPr>
            <w:r>
              <w:rPr>
                <w:color w:val="000000"/>
                <w:sz w:val="22"/>
                <w:szCs w:val="22"/>
                <w:lang w:eastAsia="lt-LT"/>
              </w:rPr>
              <w:t xml:space="preserve">3.2. Asmenų, vidurinį išsilavinimą įgyjančių profesinėse mokyklose, dalis </w:t>
            </w:r>
            <w:r>
              <w:rPr>
                <w:sz w:val="22"/>
                <w:szCs w:val="22"/>
                <w:lang w:eastAsia="lt-LT"/>
              </w:rPr>
              <w:t>(</w:t>
            </w:r>
            <w:r>
              <w:rPr>
                <w:i/>
                <w:color w:val="000000"/>
                <w:sz w:val="22"/>
                <w:szCs w:val="22"/>
                <w:lang w:eastAsia="lt-LT"/>
              </w:rPr>
              <w:t>Eurostatas</w:t>
            </w:r>
            <w:r>
              <w:rPr>
                <w:color w:val="000000"/>
                <w:sz w:val="22"/>
                <w:szCs w:val="22"/>
                <w:lang w:eastAsia="lt-LT"/>
              </w:rPr>
              <w:t>)</w:t>
            </w:r>
          </w:p>
        </w:tc>
        <w:tc>
          <w:tcPr>
            <w:tcW w:w="1673" w:type="dxa"/>
            <w:tcBorders>
              <w:top w:val="single" w:sz="4" w:space="0" w:color="auto"/>
              <w:left w:val="single" w:sz="4" w:space="0" w:color="auto"/>
              <w:bottom w:val="single" w:sz="4" w:space="0" w:color="auto"/>
              <w:right w:val="single" w:sz="4" w:space="0" w:color="auto"/>
            </w:tcBorders>
            <w:hideMark/>
          </w:tcPr>
          <w:p w14:paraId="5FCF93E4" w14:textId="77777777" w:rsidR="00B607F4" w:rsidRDefault="00405F24">
            <w:pPr>
              <w:jc w:val="center"/>
              <w:rPr>
                <w:sz w:val="22"/>
                <w:szCs w:val="22"/>
                <w:lang w:eastAsia="lt-LT"/>
              </w:rPr>
            </w:pPr>
            <w:r>
              <w:rPr>
                <w:color w:val="000000"/>
                <w:sz w:val="22"/>
                <w:szCs w:val="22"/>
                <w:lang w:eastAsia="lt-LT"/>
              </w:rPr>
              <w:t>28,4 procento (2013)</w:t>
            </w:r>
          </w:p>
        </w:tc>
        <w:tc>
          <w:tcPr>
            <w:tcW w:w="1417" w:type="dxa"/>
            <w:tcBorders>
              <w:top w:val="single" w:sz="4" w:space="0" w:color="auto"/>
              <w:left w:val="single" w:sz="4" w:space="0" w:color="auto"/>
              <w:bottom w:val="single" w:sz="4" w:space="0" w:color="auto"/>
              <w:right w:val="single" w:sz="4" w:space="0" w:color="auto"/>
            </w:tcBorders>
            <w:hideMark/>
          </w:tcPr>
          <w:p w14:paraId="5FCF93E5" w14:textId="77777777" w:rsidR="00B607F4" w:rsidRDefault="00405F24">
            <w:pPr>
              <w:jc w:val="center"/>
              <w:rPr>
                <w:sz w:val="22"/>
                <w:szCs w:val="22"/>
                <w:lang w:eastAsia="lt-LT"/>
              </w:rPr>
            </w:pPr>
            <w:r>
              <w:rPr>
                <w:color w:val="000000"/>
                <w:sz w:val="22"/>
                <w:szCs w:val="22"/>
                <w:lang w:eastAsia="lt-LT"/>
              </w:rPr>
              <w:t>33 procentai</w:t>
            </w:r>
          </w:p>
        </w:tc>
        <w:tc>
          <w:tcPr>
            <w:tcW w:w="1559" w:type="dxa"/>
            <w:tcBorders>
              <w:top w:val="single" w:sz="4" w:space="0" w:color="auto"/>
              <w:left w:val="single" w:sz="4" w:space="0" w:color="auto"/>
              <w:bottom w:val="single" w:sz="4" w:space="0" w:color="auto"/>
              <w:right w:val="single" w:sz="4" w:space="0" w:color="auto"/>
            </w:tcBorders>
            <w:hideMark/>
          </w:tcPr>
          <w:p w14:paraId="5FCF93E6" w14:textId="77777777" w:rsidR="00B607F4" w:rsidRDefault="00405F24">
            <w:pPr>
              <w:jc w:val="center"/>
              <w:rPr>
                <w:sz w:val="22"/>
                <w:szCs w:val="22"/>
                <w:lang w:eastAsia="lt-LT"/>
              </w:rPr>
            </w:pPr>
            <w:r>
              <w:rPr>
                <w:color w:val="000000"/>
                <w:sz w:val="22"/>
                <w:szCs w:val="22"/>
                <w:lang w:eastAsia="lt-LT"/>
              </w:rPr>
              <w:t>35 procentai</w:t>
            </w:r>
          </w:p>
        </w:tc>
        <w:tc>
          <w:tcPr>
            <w:tcW w:w="2694" w:type="dxa"/>
            <w:tcBorders>
              <w:top w:val="single" w:sz="4" w:space="0" w:color="auto"/>
              <w:left w:val="single" w:sz="4" w:space="0" w:color="auto"/>
              <w:bottom w:val="single" w:sz="4" w:space="0" w:color="auto"/>
              <w:right w:val="single" w:sz="4" w:space="0" w:color="auto"/>
            </w:tcBorders>
            <w:hideMark/>
          </w:tcPr>
          <w:p w14:paraId="5FCF93E7" w14:textId="77777777" w:rsidR="00B607F4" w:rsidRDefault="00405F24">
            <w:pPr>
              <w:rPr>
                <w:sz w:val="22"/>
                <w:szCs w:val="22"/>
                <w:lang w:eastAsia="lt-LT"/>
              </w:rPr>
            </w:pPr>
            <w:r>
              <w:rPr>
                <w:sz w:val="22"/>
                <w:szCs w:val="22"/>
                <w:lang w:eastAsia="lt-LT"/>
              </w:rPr>
              <w:t>Lietuvos Respublikos švietimo ir mokslo ministerija</w:t>
            </w:r>
          </w:p>
        </w:tc>
      </w:tr>
      <w:tr w:rsidR="00B607F4" w14:paraId="5FCF93F0" w14:textId="77777777">
        <w:trPr>
          <w:trHeight w:val="23"/>
        </w:trPr>
        <w:tc>
          <w:tcPr>
            <w:tcW w:w="567" w:type="dxa"/>
            <w:tcBorders>
              <w:top w:val="single" w:sz="4" w:space="0" w:color="auto"/>
              <w:left w:val="single" w:sz="4" w:space="0" w:color="auto"/>
              <w:bottom w:val="single" w:sz="4" w:space="0" w:color="auto"/>
              <w:right w:val="single" w:sz="4" w:space="0" w:color="auto"/>
            </w:tcBorders>
          </w:tcPr>
          <w:p w14:paraId="5FCF93E9" w14:textId="77777777" w:rsidR="00B607F4" w:rsidRDefault="00B607F4">
            <w:pPr>
              <w:jc w:val="center"/>
              <w:rPr>
                <w:sz w:val="22"/>
                <w:szCs w:val="22"/>
                <w:lang w:eastAsia="lt-LT"/>
              </w:rPr>
            </w:pPr>
          </w:p>
        </w:tc>
        <w:tc>
          <w:tcPr>
            <w:tcW w:w="3148" w:type="dxa"/>
            <w:tcBorders>
              <w:top w:val="single" w:sz="4" w:space="0" w:color="auto"/>
              <w:left w:val="single" w:sz="4" w:space="0" w:color="auto"/>
              <w:bottom w:val="single" w:sz="4" w:space="0" w:color="auto"/>
              <w:right w:val="single" w:sz="4" w:space="0" w:color="auto"/>
            </w:tcBorders>
          </w:tcPr>
          <w:p w14:paraId="5FCF93EA" w14:textId="77777777" w:rsidR="00B607F4" w:rsidRDefault="00B607F4">
            <w:pPr>
              <w:keepNext/>
              <w:tabs>
                <w:tab w:val="left" w:pos="426"/>
              </w:tabs>
              <w:rPr>
                <w:b/>
                <w:caps/>
                <w:color w:val="FF0000"/>
                <w:sz w:val="22"/>
                <w:szCs w:val="22"/>
                <w:lang w:eastAsia="en-GB"/>
              </w:rPr>
            </w:pPr>
          </w:p>
        </w:tc>
        <w:tc>
          <w:tcPr>
            <w:tcW w:w="3543" w:type="dxa"/>
            <w:tcBorders>
              <w:top w:val="single" w:sz="4" w:space="0" w:color="auto"/>
              <w:left w:val="single" w:sz="4" w:space="0" w:color="auto"/>
              <w:bottom w:val="single" w:sz="4" w:space="0" w:color="auto"/>
              <w:right w:val="single" w:sz="4" w:space="0" w:color="auto"/>
            </w:tcBorders>
            <w:hideMark/>
          </w:tcPr>
          <w:p w14:paraId="5FCF93EB" w14:textId="77777777" w:rsidR="00B607F4" w:rsidRDefault="00405F24">
            <w:pPr>
              <w:rPr>
                <w:color w:val="000000"/>
                <w:sz w:val="22"/>
                <w:szCs w:val="22"/>
                <w:lang w:eastAsia="lt-LT"/>
              </w:rPr>
            </w:pPr>
            <w:r>
              <w:rPr>
                <w:color w:val="000000"/>
                <w:sz w:val="22"/>
                <w:szCs w:val="22"/>
                <w:lang w:eastAsia="lt-LT"/>
              </w:rPr>
              <w:t xml:space="preserve">3.3. Aukštojo mokslo persimokymas (aukštąjį išsilavinimą turinčių darbuotojų, kurie nedirba ISCO 1, 2 ir 3 profesijų grupėse, dalis (vertikali neatitiktis) </w:t>
            </w:r>
            <w:r>
              <w:rPr>
                <w:sz w:val="22"/>
                <w:szCs w:val="22"/>
                <w:lang w:eastAsia="lt-LT"/>
              </w:rPr>
              <w:t>(</w:t>
            </w:r>
            <w:r>
              <w:rPr>
                <w:i/>
                <w:color w:val="000000"/>
                <w:sz w:val="22"/>
                <w:szCs w:val="22"/>
                <w:lang w:eastAsia="lt-LT"/>
              </w:rPr>
              <w:t>Eurostatas</w:t>
            </w:r>
            <w:r>
              <w:rPr>
                <w:color w:val="000000"/>
                <w:sz w:val="22"/>
                <w:szCs w:val="22"/>
                <w:lang w:eastAsia="lt-LT"/>
              </w:rPr>
              <w:t>)</w:t>
            </w:r>
          </w:p>
        </w:tc>
        <w:tc>
          <w:tcPr>
            <w:tcW w:w="1673" w:type="dxa"/>
            <w:tcBorders>
              <w:top w:val="single" w:sz="4" w:space="0" w:color="auto"/>
              <w:left w:val="single" w:sz="4" w:space="0" w:color="auto"/>
              <w:bottom w:val="single" w:sz="4" w:space="0" w:color="auto"/>
              <w:right w:val="single" w:sz="4" w:space="0" w:color="auto"/>
            </w:tcBorders>
            <w:hideMark/>
          </w:tcPr>
          <w:p w14:paraId="5FCF93EC" w14:textId="77777777" w:rsidR="00B607F4" w:rsidRDefault="00405F24">
            <w:pPr>
              <w:jc w:val="center"/>
              <w:rPr>
                <w:sz w:val="22"/>
                <w:szCs w:val="22"/>
                <w:lang w:eastAsia="lt-LT"/>
              </w:rPr>
            </w:pPr>
            <w:r>
              <w:rPr>
                <w:color w:val="000000"/>
                <w:sz w:val="22"/>
                <w:szCs w:val="22"/>
                <w:lang w:eastAsia="lt-LT"/>
              </w:rPr>
              <w:t>16,3 procento (2011)</w:t>
            </w:r>
          </w:p>
        </w:tc>
        <w:tc>
          <w:tcPr>
            <w:tcW w:w="1417" w:type="dxa"/>
            <w:tcBorders>
              <w:top w:val="single" w:sz="4" w:space="0" w:color="auto"/>
              <w:left w:val="single" w:sz="4" w:space="0" w:color="auto"/>
              <w:bottom w:val="single" w:sz="4" w:space="0" w:color="auto"/>
              <w:right w:val="single" w:sz="4" w:space="0" w:color="auto"/>
            </w:tcBorders>
            <w:hideMark/>
          </w:tcPr>
          <w:p w14:paraId="5FCF93ED" w14:textId="77777777" w:rsidR="00B607F4" w:rsidRDefault="00405F24">
            <w:pPr>
              <w:jc w:val="center"/>
              <w:rPr>
                <w:sz w:val="22"/>
                <w:szCs w:val="22"/>
                <w:lang w:eastAsia="lt-LT"/>
              </w:rPr>
            </w:pPr>
            <w:r>
              <w:rPr>
                <w:color w:val="000000"/>
                <w:sz w:val="22"/>
                <w:szCs w:val="22"/>
                <w:lang w:eastAsia="lt-LT"/>
              </w:rPr>
              <w:t>19 procentų</w:t>
            </w:r>
          </w:p>
        </w:tc>
        <w:tc>
          <w:tcPr>
            <w:tcW w:w="1559" w:type="dxa"/>
            <w:tcBorders>
              <w:top w:val="single" w:sz="4" w:space="0" w:color="auto"/>
              <w:left w:val="single" w:sz="4" w:space="0" w:color="auto"/>
              <w:bottom w:val="single" w:sz="4" w:space="0" w:color="auto"/>
              <w:right w:val="single" w:sz="4" w:space="0" w:color="auto"/>
            </w:tcBorders>
            <w:hideMark/>
          </w:tcPr>
          <w:p w14:paraId="5FCF93EE" w14:textId="77777777" w:rsidR="00B607F4" w:rsidRDefault="00405F24">
            <w:pPr>
              <w:jc w:val="center"/>
              <w:rPr>
                <w:sz w:val="22"/>
                <w:szCs w:val="22"/>
                <w:lang w:eastAsia="lt-LT"/>
              </w:rPr>
            </w:pPr>
            <w:r>
              <w:rPr>
                <w:sz w:val="22"/>
                <w:szCs w:val="22"/>
                <w:lang w:eastAsia="lt-LT"/>
              </w:rPr>
              <w:t>22</w:t>
            </w:r>
            <w:r>
              <w:rPr>
                <w:color w:val="000000"/>
                <w:sz w:val="22"/>
                <w:szCs w:val="22"/>
                <w:lang w:eastAsia="lt-LT"/>
              </w:rPr>
              <w:t xml:space="preserve"> procentai</w:t>
            </w:r>
          </w:p>
        </w:tc>
        <w:tc>
          <w:tcPr>
            <w:tcW w:w="2694" w:type="dxa"/>
            <w:tcBorders>
              <w:top w:val="single" w:sz="4" w:space="0" w:color="auto"/>
              <w:left w:val="single" w:sz="4" w:space="0" w:color="auto"/>
              <w:bottom w:val="single" w:sz="4" w:space="0" w:color="auto"/>
              <w:right w:val="single" w:sz="4" w:space="0" w:color="auto"/>
            </w:tcBorders>
            <w:hideMark/>
          </w:tcPr>
          <w:p w14:paraId="5FCF93EF" w14:textId="77777777" w:rsidR="00B607F4" w:rsidRDefault="00405F24">
            <w:pPr>
              <w:rPr>
                <w:sz w:val="22"/>
                <w:szCs w:val="22"/>
                <w:lang w:eastAsia="lt-LT"/>
              </w:rPr>
            </w:pPr>
            <w:r>
              <w:rPr>
                <w:sz w:val="22"/>
                <w:szCs w:val="22"/>
                <w:lang w:eastAsia="lt-LT"/>
              </w:rPr>
              <w:t>Lietuvos Respublikos švietimo ir mokslo ministerija</w:t>
            </w:r>
          </w:p>
        </w:tc>
      </w:tr>
    </w:tbl>
    <w:p w14:paraId="5FCF93F1" w14:textId="77777777" w:rsidR="00B607F4" w:rsidRDefault="00B607F4">
      <w:pPr>
        <w:tabs>
          <w:tab w:val="left" w:pos="-426"/>
        </w:tabs>
        <w:rPr>
          <w:lang w:eastAsia="lt-LT"/>
        </w:rPr>
      </w:pPr>
    </w:p>
    <w:p w14:paraId="5FCF93F2" w14:textId="77777777" w:rsidR="00B607F4" w:rsidRDefault="00B607F4">
      <w:pPr>
        <w:tabs>
          <w:tab w:val="left" w:pos="-426"/>
        </w:tabs>
        <w:rPr>
          <w:lang w:eastAsia="lt-LT"/>
        </w:rPr>
      </w:pPr>
    </w:p>
    <w:p w14:paraId="5FCF93F3" w14:textId="77777777" w:rsidR="00B607F4" w:rsidRDefault="00B607F4">
      <w:pPr>
        <w:tabs>
          <w:tab w:val="left" w:pos="-426"/>
        </w:tabs>
        <w:rPr>
          <w:lang w:eastAsia="lt-LT"/>
        </w:rPr>
      </w:pPr>
    </w:p>
    <w:p w14:paraId="5FCF93F4" w14:textId="77777777" w:rsidR="00B607F4" w:rsidRDefault="00405F24">
      <w:pPr>
        <w:tabs>
          <w:tab w:val="left" w:pos="6237"/>
          <w:tab w:val="right" w:pos="8306"/>
        </w:tabs>
        <w:jc w:val="center"/>
        <w:rPr>
          <w:lang w:eastAsia="lt-LT"/>
        </w:rPr>
      </w:pPr>
      <w:r>
        <w:rPr>
          <w:color w:val="000000"/>
        </w:rPr>
        <w:t>––––––––––––––––––––</w:t>
      </w:r>
    </w:p>
    <w:sectPr w:rsidR="00B607F4">
      <w:pgSz w:w="16838" w:h="11906" w:orient="landscape" w:code="9"/>
      <w:pgMar w:top="1701" w:right="567" w:bottom="1134" w:left="1701" w:header="567" w:footer="567"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F93F9" w14:textId="77777777" w:rsidR="00B607F4" w:rsidRDefault="00405F24">
      <w:pPr>
        <w:rPr>
          <w:lang w:eastAsia="lt-LT"/>
        </w:rPr>
      </w:pPr>
      <w:r>
        <w:rPr>
          <w:lang w:eastAsia="lt-LT"/>
        </w:rPr>
        <w:separator/>
      </w:r>
    </w:p>
  </w:endnote>
  <w:endnote w:type="continuationSeparator" w:id="0">
    <w:p w14:paraId="5FCF93FA" w14:textId="77777777" w:rsidR="00B607F4" w:rsidRDefault="00405F24">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HelveticaLT">
    <w:altName w:val="Courier New"/>
    <w:charset w:val="00"/>
    <w:family w:val="auto"/>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TT20E2o0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F93FF" w14:textId="77777777" w:rsidR="00B607F4" w:rsidRDefault="00B607F4">
    <w:pPr>
      <w:tabs>
        <w:tab w:val="center" w:pos="4153"/>
        <w:tab w:val="right" w:pos="8306"/>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F9400" w14:textId="77777777" w:rsidR="00B607F4" w:rsidRDefault="00B607F4">
    <w:pPr>
      <w:tabs>
        <w:tab w:val="center" w:pos="4153"/>
        <w:tab w:val="right" w:pos="8306"/>
      </w:tabs>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F9402" w14:textId="77777777" w:rsidR="00B607F4" w:rsidRDefault="00B607F4">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F93F7" w14:textId="77777777" w:rsidR="00B607F4" w:rsidRDefault="00405F24">
      <w:pPr>
        <w:rPr>
          <w:lang w:eastAsia="lt-LT"/>
        </w:rPr>
      </w:pPr>
      <w:r>
        <w:rPr>
          <w:lang w:eastAsia="lt-LT"/>
        </w:rPr>
        <w:separator/>
      </w:r>
    </w:p>
  </w:footnote>
  <w:footnote w:type="continuationSeparator" w:id="0">
    <w:p w14:paraId="5FCF93F8" w14:textId="77777777" w:rsidR="00B607F4" w:rsidRDefault="00405F24">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F93FB" w14:textId="77777777" w:rsidR="00B607F4" w:rsidRDefault="00405F24">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14:paraId="5FCF93FC" w14:textId="77777777" w:rsidR="00B607F4" w:rsidRDefault="00B607F4">
    <w:pPr>
      <w:tabs>
        <w:tab w:val="center" w:pos="4153"/>
        <w:tab w:val="right" w:pos="8306"/>
      </w:tabs>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F93FD" w14:textId="77777777" w:rsidR="00B607F4" w:rsidRDefault="00405F24">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separate"/>
    </w:r>
    <w:r w:rsidR="00324B17">
      <w:rPr>
        <w:noProof/>
        <w:lang w:eastAsia="lt-LT"/>
      </w:rPr>
      <w:t>2</w:t>
    </w:r>
    <w:r>
      <w:rPr>
        <w:lang w:eastAsia="lt-LT"/>
      </w:rPr>
      <w:fldChar w:fldCharType="end"/>
    </w:r>
  </w:p>
  <w:p w14:paraId="5FCF93FE" w14:textId="77777777" w:rsidR="00B607F4" w:rsidRDefault="00B607F4">
    <w:pPr>
      <w:tabs>
        <w:tab w:val="center" w:pos="4153"/>
        <w:tab w:val="right" w:pos="8306"/>
      </w:tabs>
      <w:rPr>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F9401" w14:textId="77777777" w:rsidR="00B607F4" w:rsidRDefault="00B607F4">
    <w:pPr>
      <w:tabs>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153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E7"/>
    <w:rsid w:val="00324B17"/>
    <w:rsid w:val="00405F24"/>
    <w:rsid w:val="004C66E7"/>
    <w:rsid w:val="00B607F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metric2"/>
  <w:shapeDefaults>
    <o:shapedefaults v:ext="edit" spidmax="153601"/>
    <o:shapelayout v:ext="edit">
      <o:idmap v:ext="edit" data="1"/>
    </o:shapelayout>
  </w:shapeDefaults>
  <w:decimalSymbol w:val=","/>
  <w:listSeparator w:val=";"/>
  <w14:docId w14:val="5FCF92B2"/>
  <w15:docId w15:val="{B6045A63-23D8-4A51-B72F-3A2C3B3D4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545794218">
      <w:bodyDiv w:val="1"/>
      <w:marLeft w:val="0"/>
      <w:marRight w:val="0"/>
      <w:marTop w:val="0"/>
      <w:marBottom w:val="0"/>
      <w:divBdr>
        <w:top w:val="none" w:sz="0" w:space="0" w:color="auto"/>
        <w:left w:val="none" w:sz="0" w:space="0" w:color="auto"/>
        <w:bottom w:val="none" w:sz="0" w:space="0" w:color="auto"/>
        <w:right w:val="none" w:sz="0" w:space="0" w:color="auto"/>
      </w:divBdr>
    </w:div>
    <w:div w:id="576592949">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664668012">
      <w:bodyDiv w:val="1"/>
      <w:marLeft w:val="0"/>
      <w:marRight w:val="0"/>
      <w:marTop w:val="0"/>
      <w:marBottom w:val="0"/>
      <w:divBdr>
        <w:top w:val="none" w:sz="0" w:space="0" w:color="auto"/>
        <w:left w:val="none" w:sz="0" w:space="0" w:color="auto"/>
        <w:bottom w:val="none" w:sz="0" w:space="0" w:color="auto"/>
        <w:right w:val="none" w:sz="0" w:space="0" w:color="auto"/>
      </w:divBdr>
    </w:div>
    <w:div w:id="673075922">
      <w:bodyDiv w:val="1"/>
      <w:marLeft w:val="0"/>
      <w:marRight w:val="0"/>
      <w:marTop w:val="0"/>
      <w:marBottom w:val="0"/>
      <w:divBdr>
        <w:top w:val="none" w:sz="0" w:space="0" w:color="auto"/>
        <w:left w:val="none" w:sz="0" w:space="0" w:color="auto"/>
        <w:bottom w:val="none" w:sz="0" w:space="0" w:color="auto"/>
        <w:right w:val="none" w:sz="0" w:space="0" w:color="auto"/>
      </w:divBdr>
    </w:div>
    <w:div w:id="952173155">
      <w:bodyDiv w:val="1"/>
      <w:marLeft w:val="0"/>
      <w:marRight w:val="0"/>
      <w:marTop w:val="0"/>
      <w:marBottom w:val="0"/>
      <w:divBdr>
        <w:top w:val="none" w:sz="0" w:space="0" w:color="auto"/>
        <w:left w:val="none" w:sz="0" w:space="0" w:color="auto"/>
        <w:bottom w:val="none" w:sz="0" w:space="0" w:color="auto"/>
        <w:right w:val="none" w:sz="0" w:space="0" w:color="auto"/>
      </w:divBdr>
    </w:div>
    <w:div w:id="1108163846">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19534039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19067</Words>
  <Characters>10869</Characters>
  <Application>Microsoft Office Word</Application>
  <DocSecurity>4</DocSecurity>
  <Lines>90</Lines>
  <Paragraphs>59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vector>
  </TitlesOfParts>
  <Company>LRVK</Company>
  <LinksUpToDate>false</LinksUpToDate>
  <CharactersWithSpaces>29877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Virginija Musteikienė</cp:lastModifiedBy>
  <cp:revision>2</cp:revision>
  <cp:lastPrinted>2016-04-07T10:32:00Z</cp:lastPrinted>
  <dcterms:created xsi:type="dcterms:W3CDTF">2016-05-19T06:27:00Z</dcterms:created>
  <dcterms:modified xsi:type="dcterms:W3CDTF">2016-05-19T06:27:00Z</dcterms:modified>
</cp:coreProperties>
</file>