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22" w:rsidRPr="00B57122" w:rsidRDefault="00B57122" w:rsidP="00B57122">
      <w:pPr>
        <w:jc w:val="center"/>
        <w:rPr>
          <w:rFonts w:ascii="Times New Roman" w:hAnsi="Times New Roman"/>
          <w:b/>
          <w:sz w:val="28"/>
          <w:szCs w:val="28"/>
        </w:rPr>
      </w:pPr>
      <w:r w:rsidRPr="00B57122">
        <w:rPr>
          <w:rFonts w:ascii="Times New Roman" w:hAnsi="Times New Roman"/>
          <w:b/>
          <w:sz w:val="28"/>
          <w:szCs w:val="28"/>
        </w:rPr>
        <w:t>Informacija apie parengtas modulines mokymo(-si) priemones</w:t>
      </w:r>
    </w:p>
    <w:p w:rsidR="00BC652A" w:rsidRPr="00904721" w:rsidRDefault="00BC652A" w:rsidP="00FE72BF">
      <w:pPr>
        <w:spacing w:after="0" w:line="360" w:lineRule="auto"/>
        <w:rPr>
          <w:rFonts w:ascii="Times New Roman" w:hAnsi="Times New Roman"/>
          <w:sz w:val="24"/>
          <w:szCs w:val="24"/>
        </w:rPr>
      </w:pPr>
      <w:r w:rsidRPr="00904721">
        <w:rPr>
          <w:rFonts w:ascii="Times New Roman" w:hAnsi="Times New Roman"/>
          <w:sz w:val="24"/>
          <w:szCs w:val="24"/>
        </w:rPr>
        <w:t>Projekto vykdytojas:</w:t>
      </w:r>
      <w:r w:rsidR="00B12248" w:rsidRPr="00904721">
        <w:rPr>
          <w:rFonts w:ascii="Times New Roman" w:hAnsi="Times New Roman"/>
          <w:sz w:val="24"/>
          <w:szCs w:val="24"/>
        </w:rPr>
        <w:t xml:space="preserve"> </w:t>
      </w:r>
      <w:r w:rsidR="004C3B1A" w:rsidRPr="004C3B1A">
        <w:rPr>
          <w:rFonts w:ascii="Times New Roman" w:hAnsi="Times New Roman"/>
          <w:sz w:val="24"/>
          <w:szCs w:val="24"/>
        </w:rPr>
        <w:t>Viešoji įstaiga Klaipėdos profesinio mokymo ir reabilitacijos centras</w:t>
      </w:r>
    </w:p>
    <w:p w:rsidR="00BC652A" w:rsidRDefault="00BC652A" w:rsidP="00FE72BF">
      <w:pPr>
        <w:spacing w:after="0" w:line="360" w:lineRule="auto"/>
        <w:rPr>
          <w:rFonts w:ascii="Times New Roman" w:hAnsi="Times New Roman"/>
          <w:sz w:val="24"/>
          <w:szCs w:val="24"/>
        </w:rPr>
      </w:pPr>
      <w:r w:rsidRPr="00904721">
        <w:rPr>
          <w:rFonts w:ascii="Times New Roman" w:hAnsi="Times New Roman"/>
          <w:sz w:val="24"/>
          <w:szCs w:val="24"/>
        </w:rPr>
        <w:t>Projekto pavadinimas:</w:t>
      </w:r>
      <w:r w:rsidR="00B12248" w:rsidRPr="00904721">
        <w:rPr>
          <w:rFonts w:ascii="Times New Roman" w:hAnsi="Times New Roman"/>
          <w:sz w:val="24"/>
          <w:szCs w:val="24"/>
        </w:rPr>
        <w:t xml:space="preserve"> </w:t>
      </w:r>
      <w:r w:rsidR="00AB0320" w:rsidRPr="00AB0320">
        <w:rPr>
          <w:rFonts w:ascii="Times New Roman" w:hAnsi="Times New Roman"/>
          <w:sz w:val="24"/>
          <w:szCs w:val="24"/>
        </w:rPr>
        <w:t>Transporto srities modulinėms mokymo programoms skirtų mokymo priemonių rengimas ir modulinių mokymo programų išbandymas</w:t>
      </w:r>
    </w:p>
    <w:p w:rsidR="00915AFF" w:rsidRPr="00904721" w:rsidRDefault="00BC652A" w:rsidP="00FE72BF">
      <w:pPr>
        <w:spacing w:after="0" w:line="360" w:lineRule="auto"/>
        <w:rPr>
          <w:rFonts w:ascii="Times New Roman" w:hAnsi="Times New Roman"/>
          <w:sz w:val="24"/>
          <w:szCs w:val="24"/>
        </w:rPr>
      </w:pPr>
      <w:r w:rsidRPr="00904721">
        <w:rPr>
          <w:rFonts w:ascii="Times New Roman" w:hAnsi="Times New Roman"/>
          <w:sz w:val="24"/>
          <w:szCs w:val="24"/>
        </w:rPr>
        <w:t>Projekto kodas:</w:t>
      </w:r>
      <w:r w:rsidR="00B12248" w:rsidRPr="00904721">
        <w:rPr>
          <w:rFonts w:ascii="Times New Roman" w:hAnsi="Times New Roman"/>
          <w:sz w:val="24"/>
          <w:szCs w:val="24"/>
        </w:rPr>
        <w:t xml:space="preserve"> </w:t>
      </w:r>
      <w:r w:rsidR="004C3B1A" w:rsidRPr="004C3B1A">
        <w:rPr>
          <w:rFonts w:ascii="Times New Roman" w:hAnsi="Times New Roman"/>
          <w:sz w:val="24"/>
          <w:szCs w:val="24"/>
        </w:rPr>
        <w:t>VP1-2.2-ŠMM-04-V-03-020</w:t>
      </w:r>
    </w:p>
    <w:tbl>
      <w:tblPr>
        <w:tblpPr w:leftFromText="180" w:rightFromText="180" w:vertAnchor="text" w:horzAnchor="margin" w:tblpXSpec="center" w:tblpY="5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09"/>
        <w:gridCol w:w="1809"/>
        <w:gridCol w:w="1809"/>
        <w:gridCol w:w="5063"/>
        <w:gridCol w:w="2551"/>
      </w:tblGrid>
      <w:tr w:rsidR="001C1B0C" w:rsidRPr="008946C3" w:rsidTr="004B2BA0">
        <w:trPr>
          <w:trHeight w:val="1266"/>
        </w:trPr>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 xml:space="preserve">Švietimo </w:t>
            </w:r>
            <w:proofErr w:type="spellStart"/>
            <w:r w:rsidRPr="00EC21E9">
              <w:rPr>
                <w:rFonts w:ascii="Times New Roman" w:hAnsi="Times New Roman"/>
                <w:b/>
              </w:rPr>
              <w:t>posritis</w:t>
            </w:r>
            <w:proofErr w:type="spellEnd"/>
            <w:r w:rsidRPr="00EC21E9">
              <w:rPr>
                <w:rFonts w:ascii="Times New Roman" w:hAnsi="Times New Roman"/>
                <w:b/>
              </w:rPr>
              <w:t>, kuriam skirta mokymo priemonė</w:t>
            </w:r>
          </w:p>
        </w:tc>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Mokymo priemonės pavadinimas</w:t>
            </w:r>
          </w:p>
        </w:tc>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Mokymo priemonės autorius (-</w:t>
            </w:r>
            <w:proofErr w:type="spellStart"/>
            <w:r w:rsidRPr="00EC21E9">
              <w:rPr>
                <w:rFonts w:ascii="Times New Roman" w:hAnsi="Times New Roman"/>
                <w:b/>
              </w:rPr>
              <w:t>iai</w:t>
            </w:r>
            <w:proofErr w:type="spellEnd"/>
            <w:r w:rsidRPr="00EC21E9">
              <w:rPr>
                <w:rFonts w:ascii="Times New Roman" w:hAnsi="Times New Roman"/>
                <w:b/>
              </w:rPr>
              <w:t>)</w:t>
            </w:r>
          </w:p>
        </w:tc>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Mokymo priemonės  rūšis</w:t>
            </w:r>
          </w:p>
        </w:tc>
        <w:tc>
          <w:tcPr>
            <w:tcW w:w="5063"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 xml:space="preserve">Trumpas mokymo priemonės turinio aprašymas </w:t>
            </w:r>
          </w:p>
        </w:tc>
        <w:tc>
          <w:tcPr>
            <w:tcW w:w="2551"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Nuoroda, kur galima rasti detalesnę informaciją apie parengtą mokymo priemonę</w:t>
            </w:r>
          </w:p>
        </w:tc>
      </w:tr>
      <w:tr w:rsidR="001C1B0C" w:rsidRPr="008946C3" w:rsidTr="004B2BA0">
        <w:trPr>
          <w:trHeight w:val="493"/>
        </w:trPr>
        <w:tc>
          <w:tcPr>
            <w:tcW w:w="1809" w:type="dxa"/>
          </w:tcPr>
          <w:p w:rsidR="001C1B0C" w:rsidRPr="00EC21E9" w:rsidRDefault="004C3B1A" w:rsidP="001C1B0C">
            <w:pPr>
              <w:spacing w:after="0" w:line="240" w:lineRule="auto"/>
              <w:rPr>
                <w:rFonts w:ascii="Times New Roman" w:hAnsi="Times New Roman"/>
                <w:sz w:val="24"/>
                <w:szCs w:val="24"/>
              </w:rPr>
            </w:pPr>
            <w:r w:rsidRPr="004C3B1A">
              <w:rPr>
                <w:rFonts w:ascii="Times New Roman" w:hAnsi="Times New Roman"/>
                <w:sz w:val="24"/>
                <w:szCs w:val="24"/>
              </w:rPr>
              <w:t>Transporto paslaugos</w:t>
            </w:r>
          </w:p>
        </w:tc>
        <w:tc>
          <w:tcPr>
            <w:tcW w:w="1809" w:type="dxa"/>
          </w:tcPr>
          <w:p w:rsidR="001C1B0C" w:rsidRPr="00EC21E9" w:rsidRDefault="004C3B1A" w:rsidP="001C1B0C">
            <w:pPr>
              <w:spacing w:after="0" w:line="240" w:lineRule="auto"/>
              <w:rPr>
                <w:rFonts w:ascii="Times New Roman" w:hAnsi="Times New Roman"/>
                <w:sz w:val="24"/>
                <w:szCs w:val="24"/>
              </w:rPr>
            </w:pPr>
            <w:r w:rsidRPr="004C3B1A">
              <w:rPr>
                <w:rFonts w:ascii="Times New Roman" w:hAnsi="Times New Roman"/>
                <w:i/>
                <w:sz w:val="24"/>
                <w:szCs w:val="24"/>
              </w:rPr>
              <w:t>Vairuotojų rengimo kompiuterinė mokymo priemonė</w:t>
            </w:r>
          </w:p>
        </w:tc>
        <w:tc>
          <w:tcPr>
            <w:tcW w:w="1809" w:type="dxa"/>
          </w:tcPr>
          <w:p w:rsidR="001C1B0C" w:rsidRPr="00EC21E9" w:rsidRDefault="001C1B0C" w:rsidP="001C1B0C">
            <w:pPr>
              <w:spacing w:after="0" w:line="240" w:lineRule="auto"/>
              <w:rPr>
                <w:rFonts w:ascii="Times New Roman" w:hAnsi="Times New Roman"/>
                <w:sz w:val="24"/>
                <w:szCs w:val="24"/>
              </w:rPr>
            </w:pPr>
          </w:p>
        </w:tc>
        <w:tc>
          <w:tcPr>
            <w:tcW w:w="1809" w:type="dxa"/>
          </w:tcPr>
          <w:p w:rsidR="001C1B0C" w:rsidRPr="00EC21E9" w:rsidRDefault="004C3B1A" w:rsidP="001C1B0C">
            <w:pPr>
              <w:spacing w:after="0" w:line="240" w:lineRule="auto"/>
              <w:rPr>
                <w:rFonts w:ascii="Times New Roman" w:hAnsi="Times New Roman"/>
                <w:sz w:val="24"/>
                <w:szCs w:val="24"/>
              </w:rPr>
            </w:pPr>
            <w:r>
              <w:rPr>
                <w:rFonts w:ascii="Times New Roman" w:hAnsi="Times New Roman"/>
                <w:sz w:val="24"/>
                <w:szCs w:val="24"/>
              </w:rPr>
              <w:t>Elektroninė</w:t>
            </w:r>
          </w:p>
        </w:tc>
        <w:tc>
          <w:tcPr>
            <w:tcW w:w="5063" w:type="dxa"/>
          </w:tcPr>
          <w:p w:rsidR="004C3B1A" w:rsidRPr="004C3B1A"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t xml:space="preserve">Vairuotojų rengimo kompiuterinė mokymo priemonė, kurią sudaro programinė įranga bei 3 mokymo medžiagos moduliai: </w:t>
            </w:r>
          </w:p>
          <w:p w:rsidR="004C3B1A" w:rsidRPr="004C3B1A"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t>1. Transporto priemonių vairuotojų pirminio mokymo, pagal A1,A2, A, B, C1, C, CE, D1, D kategorijų vairuotojų mokymo programas modulis.</w:t>
            </w:r>
          </w:p>
          <w:p w:rsidR="004C3B1A" w:rsidRPr="004C3B1A"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t>2.Transporto priemonių vairuotojų pradinės profesinės kvalifikacijos įgijimo ir periodinio profesinio mokymo programas pagal Europos parlamento ir tarybos direktyvą 2003/59/EB modulis.</w:t>
            </w:r>
          </w:p>
          <w:p w:rsidR="004C3B1A" w:rsidRPr="004C3B1A"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t>3.Kelių transporto priemonių vairuotojų, vežančių pavojingus krovinius A1 ir A2 programų modulis.</w:t>
            </w:r>
          </w:p>
          <w:p w:rsidR="001C1B0C"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t xml:space="preserve">Vairuotojų rengimo kompiuterinėje mokymo priemonėje yra: aktualiausia ir naujausia kursų medžiaga su interaktyviais paveikslais, video, </w:t>
            </w:r>
            <w:proofErr w:type="spellStart"/>
            <w:r w:rsidRPr="004C3B1A">
              <w:rPr>
                <w:rFonts w:ascii="Times New Roman" w:hAnsi="Times New Roman"/>
                <w:sz w:val="24"/>
                <w:szCs w:val="24"/>
              </w:rPr>
              <w:t>Flash</w:t>
            </w:r>
            <w:proofErr w:type="spellEnd"/>
            <w:r w:rsidRPr="004C3B1A">
              <w:rPr>
                <w:rFonts w:ascii="Times New Roman" w:hAnsi="Times New Roman"/>
                <w:sz w:val="24"/>
                <w:szCs w:val="24"/>
              </w:rPr>
              <w:t xml:space="preserve"> technologijos, animacija su įgarsinimu, savikontrolės klausimai, užduotys, testai, pagal kuriuos besimokantysis įvertina savo žinias.</w:t>
            </w:r>
          </w:p>
          <w:p w:rsidR="00FE72BF" w:rsidRDefault="00FE72BF" w:rsidP="004C3B1A">
            <w:pPr>
              <w:spacing w:after="0" w:line="240" w:lineRule="auto"/>
              <w:rPr>
                <w:rFonts w:ascii="Times New Roman" w:hAnsi="Times New Roman"/>
                <w:sz w:val="24"/>
                <w:szCs w:val="24"/>
              </w:rPr>
            </w:pPr>
          </w:p>
          <w:p w:rsidR="00FE72BF" w:rsidRPr="00EC21E9" w:rsidRDefault="00FE72BF" w:rsidP="004C3B1A">
            <w:pPr>
              <w:spacing w:after="0" w:line="240" w:lineRule="auto"/>
              <w:rPr>
                <w:rFonts w:ascii="Times New Roman" w:hAnsi="Times New Roman"/>
                <w:sz w:val="24"/>
                <w:szCs w:val="24"/>
              </w:rPr>
            </w:pPr>
          </w:p>
        </w:tc>
        <w:tc>
          <w:tcPr>
            <w:tcW w:w="2551" w:type="dxa"/>
          </w:tcPr>
          <w:p w:rsidR="001C1B0C" w:rsidRPr="00EC21E9" w:rsidRDefault="0002250C" w:rsidP="00B57122">
            <w:pPr>
              <w:spacing w:after="0" w:line="240" w:lineRule="auto"/>
              <w:rPr>
                <w:rFonts w:ascii="Times New Roman" w:hAnsi="Times New Roman"/>
                <w:sz w:val="24"/>
                <w:szCs w:val="24"/>
              </w:rPr>
            </w:pPr>
            <w:hyperlink r:id="rId6" w:history="1">
              <w:r w:rsidR="004C3B1A" w:rsidRPr="00F06026">
                <w:rPr>
                  <w:rStyle w:val="Hipersaitas"/>
                  <w:rFonts w:ascii="Times New Roman" w:hAnsi="Times New Roman"/>
                  <w:sz w:val="24"/>
                  <w:szCs w:val="24"/>
                </w:rPr>
                <w:t>www.klaipedospmrc.lt</w:t>
              </w:r>
            </w:hyperlink>
          </w:p>
        </w:tc>
      </w:tr>
      <w:tr w:rsidR="004C3B1A" w:rsidRPr="008946C3" w:rsidTr="004B2BA0">
        <w:trPr>
          <w:trHeight w:val="493"/>
        </w:trPr>
        <w:tc>
          <w:tcPr>
            <w:tcW w:w="1809" w:type="dxa"/>
          </w:tcPr>
          <w:p w:rsidR="004C3B1A" w:rsidRPr="00EC21E9"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lastRenderedPageBreak/>
              <w:t>Transporto paslaugos</w:t>
            </w:r>
          </w:p>
        </w:tc>
        <w:tc>
          <w:tcPr>
            <w:tcW w:w="1809" w:type="dxa"/>
          </w:tcPr>
          <w:p w:rsidR="004C3B1A" w:rsidRPr="004C3B1A" w:rsidRDefault="004C3B1A" w:rsidP="004C3B1A">
            <w:pPr>
              <w:spacing w:after="0" w:line="240" w:lineRule="auto"/>
              <w:rPr>
                <w:rFonts w:ascii="Times New Roman" w:hAnsi="Times New Roman"/>
                <w:i/>
                <w:sz w:val="24"/>
                <w:szCs w:val="24"/>
              </w:rPr>
            </w:pPr>
            <w:r w:rsidRPr="004C3B1A">
              <w:rPr>
                <w:rFonts w:ascii="Times New Roman" w:hAnsi="Times New Roman"/>
                <w:sz w:val="24"/>
                <w:szCs w:val="24"/>
              </w:rPr>
              <w:t>Mokymo priemonė „Traukinio valdymas realiame Lietuvos geležinkelių kelio ruože“</w:t>
            </w:r>
          </w:p>
        </w:tc>
        <w:tc>
          <w:tcPr>
            <w:tcW w:w="1809" w:type="dxa"/>
          </w:tcPr>
          <w:p w:rsidR="004C3B1A" w:rsidRPr="00EC21E9" w:rsidRDefault="004C3B1A" w:rsidP="004C3B1A">
            <w:pPr>
              <w:spacing w:after="0" w:line="240" w:lineRule="auto"/>
              <w:rPr>
                <w:rFonts w:ascii="Times New Roman" w:hAnsi="Times New Roman"/>
                <w:sz w:val="24"/>
                <w:szCs w:val="24"/>
              </w:rPr>
            </w:pPr>
          </w:p>
        </w:tc>
        <w:tc>
          <w:tcPr>
            <w:tcW w:w="1809" w:type="dxa"/>
          </w:tcPr>
          <w:p w:rsidR="004C3B1A" w:rsidRDefault="004C3B1A" w:rsidP="004C3B1A">
            <w:pPr>
              <w:spacing w:after="0" w:line="240" w:lineRule="auto"/>
              <w:rPr>
                <w:rFonts w:ascii="Times New Roman" w:hAnsi="Times New Roman"/>
                <w:sz w:val="24"/>
                <w:szCs w:val="24"/>
              </w:rPr>
            </w:pPr>
            <w:r>
              <w:rPr>
                <w:rFonts w:ascii="Times New Roman" w:hAnsi="Times New Roman"/>
                <w:sz w:val="24"/>
                <w:szCs w:val="24"/>
              </w:rPr>
              <w:t>Elektroninė</w:t>
            </w:r>
          </w:p>
        </w:tc>
        <w:tc>
          <w:tcPr>
            <w:tcW w:w="5063" w:type="dxa"/>
          </w:tcPr>
          <w:p w:rsidR="004C3B1A" w:rsidRPr="004C3B1A" w:rsidRDefault="00313695" w:rsidP="004C3B1A">
            <w:pPr>
              <w:spacing w:after="0" w:line="240" w:lineRule="auto"/>
              <w:rPr>
                <w:rFonts w:ascii="Times New Roman" w:hAnsi="Times New Roman"/>
                <w:sz w:val="24"/>
                <w:szCs w:val="24"/>
              </w:rPr>
            </w:pPr>
            <w:r w:rsidRPr="00313695">
              <w:rPr>
                <w:rFonts w:ascii="Times New Roman" w:hAnsi="Times New Roman"/>
                <w:sz w:val="24"/>
                <w:szCs w:val="24"/>
              </w:rPr>
              <w:t xml:space="preserve">Mokymo priemonė skirta naudoti kartu su VGTVPM esančiu prekiniu traukinio valdymo </w:t>
            </w:r>
            <w:proofErr w:type="spellStart"/>
            <w:r w:rsidRPr="00313695">
              <w:rPr>
                <w:rFonts w:ascii="Times New Roman" w:hAnsi="Times New Roman"/>
                <w:sz w:val="24"/>
                <w:szCs w:val="24"/>
              </w:rPr>
              <w:t>simuliatoriumi</w:t>
            </w:r>
            <w:proofErr w:type="spellEnd"/>
            <w:r w:rsidRPr="00313695">
              <w:rPr>
                <w:rFonts w:ascii="Times New Roman" w:hAnsi="Times New Roman"/>
                <w:sz w:val="24"/>
                <w:szCs w:val="24"/>
              </w:rPr>
              <w:t>. Traukinio mašinistai mokosi važiuoti vienu iš sudėtingiausiu geležinkelio kelio ruožu Lietuvoje Vaidotai- Kėdainiai. Naudojant mokymo priemonę galima keisti oro sąlygas, metų laikus, paros metą. Taip pat galima kurti ekstremalias pavojingas situacijas, kurių metu mokiniai lavina savo profesinius įgūdžius. Naudojant šią mokymo priemonę laikomas kvalifikacijos egzaminas</w:t>
            </w:r>
          </w:p>
        </w:tc>
        <w:tc>
          <w:tcPr>
            <w:tcW w:w="2551" w:type="dxa"/>
          </w:tcPr>
          <w:p w:rsidR="004C3B1A" w:rsidRDefault="0002250C" w:rsidP="00313695">
            <w:pPr>
              <w:spacing w:after="0" w:line="240" w:lineRule="auto"/>
              <w:rPr>
                <w:rFonts w:ascii="Times New Roman" w:hAnsi="Times New Roman"/>
                <w:sz w:val="24"/>
                <w:szCs w:val="24"/>
              </w:rPr>
            </w:pPr>
            <w:hyperlink r:id="rId7" w:history="1">
              <w:r w:rsidR="00313695" w:rsidRPr="004B2BA0">
                <w:rPr>
                  <w:rStyle w:val="Hipersaitas"/>
                  <w:rFonts w:ascii="Times New Roman" w:hAnsi="Times New Roman"/>
                  <w:sz w:val="24"/>
                  <w:szCs w:val="24"/>
                </w:rPr>
                <w:t>www.vgtvpm.lt</w:t>
              </w:r>
            </w:hyperlink>
          </w:p>
        </w:tc>
      </w:tr>
      <w:tr w:rsidR="004C3B1A" w:rsidRPr="008946C3" w:rsidTr="004B2BA0">
        <w:trPr>
          <w:trHeight w:val="493"/>
        </w:trPr>
        <w:tc>
          <w:tcPr>
            <w:tcW w:w="1809" w:type="dxa"/>
          </w:tcPr>
          <w:p w:rsidR="004C3B1A" w:rsidRPr="00EC21E9" w:rsidRDefault="004C3B1A" w:rsidP="004C3B1A">
            <w:pPr>
              <w:spacing w:after="0" w:line="240" w:lineRule="auto"/>
              <w:rPr>
                <w:rFonts w:ascii="Times New Roman" w:hAnsi="Times New Roman"/>
                <w:sz w:val="24"/>
                <w:szCs w:val="24"/>
              </w:rPr>
            </w:pPr>
            <w:r w:rsidRPr="004C3B1A">
              <w:rPr>
                <w:rFonts w:ascii="Times New Roman" w:hAnsi="Times New Roman"/>
                <w:sz w:val="24"/>
                <w:szCs w:val="24"/>
              </w:rPr>
              <w:t>Transporto paslaugos</w:t>
            </w:r>
          </w:p>
        </w:tc>
        <w:tc>
          <w:tcPr>
            <w:tcW w:w="1809" w:type="dxa"/>
          </w:tcPr>
          <w:p w:rsidR="004C3B1A" w:rsidRPr="00313695" w:rsidRDefault="004C3B1A" w:rsidP="004C3B1A">
            <w:pPr>
              <w:spacing w:after="0" w:line="240" w:lineRule="auto"/>
              <w:rPr>
                <w:rFonts w:ascii="Times New Roman" w:hAnsi="Times New Roman"/>
                <w:sz w:val="24"/>
                <w:szCs w:val="24"/>
              </w:rPr>
            </w:pPr>
            <w:r w:rsidRPr="00313695">
              <w:rPr>
                <w:rFonts w:ascii="Times New Roman" w:hAnsi="Times New Roman"/>
                <w:sz w:val="24"/>
                <w:szCs w:val="24"/>
                <w:lang w:val="pt-BR"/>
              </w:rPr>
              <w:t>Interaktyvi 3D grafikos metodinė priemonė</w:t>
            </w:r>
          </w:p>
        </w:tc>
        <w:tc>
          <w:tcPr>
            <w:tcW w:w="1809" w:type="dxa"/>
          </w:tcPr>
          <w:p w:rsidR="004C3B1A" w:rsidRPr="00EC21E9" w:rsidRDefault="004C3B1A" w:rsidP="004C3B1A">
            <w:pPr>
              <w:spacing w:after="0" w:line="240" w:lineRule="auto"/>
              <w:rPr>
                <w:rFonts w:ascii="Times New Roman" w:hAnsi="Times New Roman"/>
                <w:sz w:val="24"/>
                <w:szCs w:val="24"/>
              </w:rPr>
            </w:pPr>
          </w:p>
        </w:tc>
        <w:tc>
          <w:tcPr>
            <w:tcW w:w="1809" w:type="dxa"/>
          </w:tcPr>
          <w:p w:rsidR="004C3B1A" w:rsidRDefault="00313695" w:rsidP="004C3B1A">
            <w:pPr>
              <w:spacing w:after="0" w:line="240" w:lineRule="auto"/>
              <w:rPr>
                <w:rFonts w:ascii="Times New Roman" w:hAnsi="Times New Roman"/>
                <w:sz w:val="24"/>
                <w:szCs w:val="24"/>
              </w:rPr>
            </w:pPr>
            <w:r>
              <w:rPr>
                <w:rFonts w:ascii="Times New Roman" w:hAnsi="Times New Roman"/>
                <w:sz w:val="24"/>
                <w:szCs w:val="24"/>
              </w:rPr>
              <w:t>E</w:t>
            </w:r>
            <w:r w:rsidR="004C3B1A">
              <w:rPr>
                <w:rFonts w:ascii="Times New Roman" w:hAnsi="Times New Roman"/>
                <w:sz w:val="24"/>
                <w:szCs w:val="24"/>
              </w:rPr>
              <w:t>lektroninė</w:t>
            </w:r>
          </w:p>
        </w:tc>
        <w:tc>
          <w:tcPr>
            <w:tcW w:w="5063" w:type="dxa"/>
          </w:tcPr>
          <w:p w:rsidR="004C3B1A" w:rsidRPr="004C3B1A" w:rsidRDefault="00313695" w:rsidP="00313695">
            <w:pPr>
              <w:spacing w:after="0" w:line="240" w:lineRule="auto"/>
              <w:rPr>
                <w:rFonts w:ascii="Times New Roman" w:hAnsi="Times New Roman"/>
                <w:sz w:val="24"/>
                <w:szCs w:val="24"/>
              </w:rPr>
            </w:pPr>
            <w:r w:rsidRPr="00313695">
              <w:rPr>
                <w:rFonts w:ascii="Times New Roman" w:hAnsi="Times New Roman"/>
                <w:sz w:val="24"/>
                <w:szCs w:val="24"/>
              </w:rPr>
              <w:t>Interaktyvi 3D grafikos metodinė priemonė skirta geležinkelio transporto specialistams. Ją naudojant galima išmokti traukinių</w:t>
            </w:r>
            <w:r>
              <w:rPr>
                <w:rFonts w:ascii="Times New Roman" w:hAnsi="Times New Roman"/>
                <w:sz w:val="24"/>
                <w:szCs w:val="24"/>
              </w:rPr>
              <w:t xml:space="preserve"> varik</w:t>
            </w:r>
            <w:r w:rsidRPr="00313695">
              <w:rPr>
                <w:rFonts w:ascii="Times New Roman" w:hAnsi="Times New Roman"/>
                <w:sz w:val="24"/>
                <w:szCs w:val="24"/>
              </w:rPr>
              <w:t>lių sandaros, traukinių eismo signalizacijos taisyklių. Taip pat metodinėje priemonėje yra galimybė išklausyti garsinius, grafinius paaiškinimus, paskaityti paaiškinamąjį tekstą, kurti testus, patei</w:t>
            </w:r>
            <w:r>
              <w:rPr>
                <w:rFonts w:ascii="Times New Roman" w:hAnsi="Times New Roman"/>
                <w:sz w:val="24"/>
                <w:szCs w:val="24"/>
              </w:rPr>
              <w:t>k</w:t>
            </w:r>
            <w:r w:rsidRPr="00313695">
              <w:rPr>
                <w:rFonts w:ascii="Times New Roman" w:hAnsi="Times New Roman"/>
                <w:sz w:val="24"/>
                <w:szCs w:val="24"/>
              </w:rPr>
              <w:t>ti juos mokiniams žinių patikrinimui. Taip pat yra sukurti vadovėliai su teorine medžiaga ir testais.</w:t>
            </w:r>
          </w:p>
        </w:tc>
        <w:tc>
          <w:tcPr>
            <w:tcW w:w="2551" w:type="dxa"/>
          </w:tcPr>
          <w:p w:rsidR="004C3B1A" w:rsidRDefault="0002250C" w:rsidP="004C3B1A">
            <w:pPr>
              <w:spacing w:after="0" w:line="240" w:lineRule="auto"/>
              <w:rPr>
                <w:rFonts w:ascii="Times New Roman" w:hAnsi="Times New Roman"/>
                <w:sz w:val="24"/>
                <w:szCs w:val="24"/>
              </w:rPr>
            </w:pPr>
            <w:hyperlink r:id="rId8" w:history="1">
              <w:r w:rsidR="00313695" w:rsidRPr="004B2BA0">
                <w:rPr>
                  <w:rStyle w:val="Hipersaitas"/>
                  <w:rFonts w:ascii="Times New Roman" w:hAnsi="Times New Roman"/>
                  <w:sz w:val="24"/>
                  <w:szCs w:val="24"/>
                </w:rPr>
                <w:t>www.vgtvpm.lt</w:t>
              </w:r>
            </w:hyperlink>
          </w:p>
        </w:tc>
      </w:tr>
    </w:tbl>
    <w:p w:rsidR="006A773E" w:rsidRDefault="006A773E" w:rsidP="00BA2456"/>
    <w:p w:rsidR="0002250C" w:rsidRPr="0002250C" w:rsidRDefault="0002250C" w:rsidP="00BA2456">
      <w:pPr>
        <w:rPr>
          <w:rFonts w:ascii="Times New Roman" w:hAnsi="Times New Roman"/>
          <w:b/>
          <w:sz w:val="24"/>
          <w:szCs w:val="24"/>
        </w:rPr>
      </w:pPr>
      <w:r>
        <w:rPr>
          <w:rFonts w:ascii="Times New Roman" w:hAnsi="Times New Roman"/>
          <w:b/>
          <w:sz w:val="24"/>
          <w:szCs w:val="24"/>
        </w:rPr>
        <w:t>Už pateiktos informacijos kokybę atsako projekto vykdytojas</w:t>
      </w:r>
      <w:bookmarkStart w:id="0" w:name="_GoBack"/>
      <w:bookmarkEnd w:id="0"/>
    </w:p>
    <w:sectPr w:rsidR="0002250C" w:rsidRPr="0002250C" w:rsidSect="00B57122">
      <w:pgSz w:w="16838" w:h="11906" w:orient="landscape"/>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60AA"/>
    <w:multiLevelType w:val="multilevel"/>
    <w:tmpl w:val="4F76D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4D"/>
    <w:rsid w:val="0002250C"/>
    <w:rsid w:val="00055447"/>
    <w:rsid w:val="000D195A"/>
    <w:rsid w:val="0011092A"/>
    <w:rsid w:val="00171AD1"/>
    <w:rsid w:val="00187A06"/>
    <w:rsid w:val="001C1B0C"/>
    <w:rsid w:val="001D5EDD"/>
    <w:rsid w:val="0023581B"/>
    <w:rsid w:val="00245D81"/>
    <w:rsid w:val="00291C6C"/>
    <w:rsid w:val="002F3052"/>
    <w:rsid w:val="00313695"/>
    <w:rsid w:val="00367AAB"/>
    <w:rsid w:val="0039714D"/>
    <w:rsid w:val="003A654D"/>
    <w:rsid w:val="003A66A7"/>
    <w:rsid w:val="003F0E37"/>
    <w:rsid w:val="00451162"/>
    <w:rsid w:val="00454BC6"/>
    <w:rsid w:val="004A13F6"/>
    <w:rsid w:val="004B2BA0"/>
    <w:rsid w:val="004C2062"/>
    <w:rsid w:val="004C3B1A"/>
    <w:rsid w:val="004D2CA2"/>
    <w:rsid w:val="0050753F"/>
    <w:rsid w:val="0060273E"/>
    <w:rsid w:val="006040DD"/>
    <w:rsid w:val="00655AE8"/>
    <w:rsid w:val="00676321"/>
    <w:rsid w:val="006A773E"/>
    <w:rsid w:val="006C381D"/>
    <w:rsid w:val="006F6DA8"/>
    <w:rsid w:val="007317F9"/>
    <w:rsid w:val="007317FD"/>
    <w:rsid w:val="00786BEA"/>
    <w:rsid w:val="007D37E3"/>
    <w:rsid w:val="0080174B"/>
    <w:rsid w:val="00820D84"/>
    <w:rsid w:val="00894326"/>
    <w:rsid w:val="008946C3"/>
    <w:rsid w:val="00895406"/>
    <w:rsid w:val="008B72FE"/>
    <w:rsid w:val="008F0770"/>
    <w:rsid w:val="008F21F3"/>
    <w:rsid w:val="00904721"/>
    <w:rsid w:val="00915AFF"/>
    <w:rsid w:val="009A5872"/>
    <w:rsid w:val="009C7279"/>
    <w:rsid w:val="009D2493"/>
    <w:rsid w:val="009D57A9"/>
    <w:rsid w:val="00AB0320"/>
    <w:rsid w:val="00B12248"/>
    <w:rsid w:val="00B13022"/>
    <w:rsid w:val="00B57122"/>
    <w:rsid w:val="00B73746"/>
    <w:rsid w:val="00BA2456"/>
    <w:rsid w:val="00BC652A"/>
    <w:rsid w:val="00BD246B"/>
    <w:rsid w:val="00BF10EB"/>
    <w:rsid w:val="00C51082"/>
    <w:rsid w:val="00C73D44"/>
    <w:rsid w:val="00C91411"/>
    <w:rsid w:val="00CC30EA"/>
    <w:rsid w:val="00D87AF9"/>
    <w:rsid w:val="00D9319C"/>
    <w:rsid w:val="00DB33EA"/>
    <w:rsid w:val="00DD51DF"/>
    <w:rsid w:val="00E23109"/>
    <w:rsid w:val="00E32303"/>
    <w:rsid w:val="00E61A7B"/>
    <w:rsid w:val="00E61B2D"/>
    <w:rsid w:val="00E72E4C"/>
    <w:rsid w:val="00EC21E9"/>
    <w:rsid w:val="00F07FD5"/>
    <w:rsid w:val="00F11F58"/>
    <w:rsid w:val="00F607A1"/>
    <w:rsid w:val="00FE72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F58"/>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3A654D"/>
    <w:pPr>
      <w:spacing w:after="0" w:line="240" w:lineRule="auto"/>
    </w:pPr>
    <w:rPr>
      <w:rFonts w:ascii="Segoe UI" w:hAnsi="Segoe UI"/>
      <w:sz w:val="18"/>
      <w:szCs w:val="18"/>
      <w:lang w:val="en-US"/>
    </w:rPr>
  </w:style>
  <w:style w:type="character" w:customStyle="1" w:styleId="DebesliotekstasDiagrama">
    <w:name w:val="Debesėlio tekstas Diagrama"/>
    <w:basedOn w:val="Numatytasispastraiposriftas"/>
    <w:link w:val="Debesliotekstas"/>
    <w:uiPriority w:val="99"/>
    <w:semiHidden/>
    <w:locked/>
    <w:rsid w:val="003A654D"/>
    <w:rPr>
      <w:rFonts w:ascii="Segoe UI" w:hAnsi="Segoe UI"/>
      <w:sz w:val="18"/>
    </w:rPr>
  </w:style>
  <w:style w:type="table" w:styleId="Lentelstinklelis">
    <w:name w:val="Table Grid"/>
    <w:basedOn w:val="prastojilentel"/>
    <w:uiPriority w:val="99"/>
    <w:rsid w:val="002358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4A13F6"/>
    <w:rPr>
      <w:rFonts w:cs="Times New Roman"/>
      <w:sz w:val="16"/>
    </w:rPr>
  </w:style>
  <w:style w:type="paragraph" w:styleId="Komentarotekstas">
    <w:name w:val="annotation text"/>
    <w:basedOn w:val="prastasis"/>
    <w:link w:val="KomentarotekstasDiagrama"/>
    <w:uiPriority w:val="99"/>
    <w:semiHidden/>
    <w:rsid w:val="004A13F6"/>
    <w:rPr>
      <w:sz w:val="20"/>
      <w:szCs w:val="20"/>
    </w:rPr>
  </w:style>
  <w:style w:type="character" w:customStyle="1" w:styleId="KomentarotekstasDiagrama">
    <w:name w:val="Komentaro tekstas Diagrama"/>
    <w:basedOn w:val="Numatytasispastraiposriftas"/>
    <w:link w:val="Komentarotekstas"/>
    <w:uiPriority w:val="99"/>
    <w:semiHidden/>
    <w:locked/>
    <w:rPr>
      <w:sz w:val="20"/>
      <w:lang w:val="lt-LT"/>
    </w:rPr>
  </w:style>
  <w:style w:type="paragraph" w:styleId="Komentarotema">
    <w:name w:val="annotation subject"/>
    <w:basedOn w:val="Komentarotekstas"/>
    <w:next w:val="Komentarotekstas"/>
    <w:link w:val="KomentarotemaDiagrama"/>
    <w:uiPriority w:val="99"/>
    <w:semiHidden/>
    <w:rsid w:val="004A13F6"/>
    <w:rPr>
      <w:b/>
      <w:bCs/>
    </w:rPr>
  </w:style>
  <w:style w:type="character" w:customStyle="1" w:styleId="KomentarotemaDiagrama">
    <w:name w:val="Komentaro tema Diagrama"/>
    <w:basedOn w:val="KomentarotekstasDiagrama"/>
    <w:link w:val="Komentarotema"/>
    <w:uiPriority w:val="99"/>
    <w:semiHidden/>
    <w:locked/>
    <w:rPr>
      <w:b/>
      <w:sz w:val="20"/>
      <w:lang w:val="lt-LT"/>
    </w:rPr>
  </w:style>
  <w:style w:type="character" w:styleId="Hipersaitas">
    <w:name w:val="Hyperlink"/>
    <w:basedOn w:val="Numatytasispastraiposriftas"/>
    <w:uiPriority w:val="99"/>
    <w:rsid w:val="004A13F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F58"/>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3A654D"/>
    <w:pPr>
      <w:spacing w:after="0" w:line="240" w:lineRule="auto"/>
    </w:pPr>
    <w:rPr>
      <w:rFonts w:ascii="Segoe UI" w:hAnsi="Segoe UI"/>
      <w:sz w:val="18"/>
      <w:szCs w:val="18"/>
      <w:lang w:val="en-US"/>
    </w:rPr>
  </w:style>
  <w:style w:type="character" w:customStyle="1" w:styleId="DebesliotekstasDiagrama">
    <w:name w:val="Debesėlio tekstas Diagrama"/>
    <w:basedOn w:val="Numatytasispastraiposriftas"/>
    <w:link w:val="Debesliotekstas"/>
    <w:uiPriority w:val="99"/>
    <w:semiHidden/>
    <w:locked/>
    <w:rsid w:val="003A654D"/>
    <w:rPr>
      <w:rFonts w:ascii="Segoe UI" w:hAnsi="Segoe UI"/>
      <w:sz w:val="18"/>
    </w:rPr>
  </w:style>
  <w:style w:type="table" w:styleId="Lentelstinklelis">
    <w:name w:val="Table Grid"/>
    <w:basedOn w:val="prastojilentel"/>
    <w:uiPriority w:val="99"/>
    <w:rsid w:val="002358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4A13F6"/>
    <w:rPr>
      <w:rFonts w:cs="Times New Roman"/>
      <w:sz w:val="16"/>
    </w:rPr>
  </w:style>
  <w:style w:type="paragraph" w:styleId="Komentarotekstas">
    <w:name w:val="annotation text"/>
    <w:basedOn w:val="prastasis"/>
    <w:link w:val="KomentarotekstasDiagrama"/>
    <w:uiPriority w:val="99"/>
    <w:semiHidden/>
    <w:rsid w:val="004A13F6"/>
    <w:rPr>
      <w:sz w:val="20"/>
      <w:szCs w:val="20"/>
    </w:rPr>
  </w:style>
  <w:style w:type="character" w:customStyle="1" w:styleId="KomentarotekstasDiagrama">
    <w:name w:val="Komentaro tekstas Diagrama"/>
    <w:basedOn w:val="Numatytasispastraiposriftas"/>
    <w:link w:val="Komentarotekstas"/>
    <w:uiPriority w:val="99"/>
    <w:semiHidden/>
    <w:locked/>
    <w:rPr>
      <w:sz w:val="20"/>
      <w:lang w:val="lt-LT"/>
    </w:rPr>
  </w:style>
  <w:style w:type="paragraph" w:styleId="Komentarotema">
    <w:name w:val="annotation subject"/>
    <w:basedOn w:val="Komentarotekstas"/>
    <w:next w:val="Komentarotekstas"/>
    <w:link w:val="KomentarotemaDiagrama"/>
    <w:uiPriority w:val="99"/>
    <w:semiHidden/>
    <w:rsid w:val="004A13F6"/>
    <w:rPr>
      <w:b/>
      <w:bCs/>
    </w:rPr>
  </w:style>
  <w:style w:type="character" w:customStyle="1" w:styleId="KomentarotemaDiagrama">
    <w:name w:val="Komentaro tema Diagrama"/>
    <w:basedOn w:val="KomentarotekstasDiagrama"/>
    <w:link w:val="Komentarotema"/>
    <w:uiPriority w:val="99"/>
    <w:semiHidden/>
    <w:locked/>
    <w:rPr>
      <w:b/>
      <w:sz w:val="20"/>
      <w:lang w:val="lt-LT"/>
    </w:rPr>
  </w:style>
  <w:style w:type="character" w:styleId="Hipersaitas">
    <w:name w:val="Hyperlink"/>
    <w:basedOn w:val="Numatytasispastraiposriftas"/>
    <w:uiPriority w:val="99"/>
    <w:rsid w:val="004A13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37992">
      <w:bodyDiv w:val="1"/>
      <w:marLeft w:val="0"/>
      <w:marRight w:val="0"/>
      <w:marTop w:val="0"/>
      <w:marBottom w:val="0"/>
      <w:divBdr>
        <w:top w:val="none" w:sz="0" w:space="0" w:color="auto"/>
        <w:left w:val="none" w:sz="0" w:space="0" w:color="auto"/>
        <w:bottom w:val="none" w:sz="0" w:space="0" w:color="auto"/>
        <w:right w:val="none" w:sz="0" w:space="0" w:color="auto"/>
      </w:divBdr>
    </w:div>
    <w:div w:id="20910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vgtvpm.lt" TargetMode="External"/><Relationship Id="rId3" Type="http://schemas.microsoft.com/office/2007/relationships/stylesWithEffects" Target="stylesWithEffects.xml"/><Relationship Id="rId7" Type="http://schemas.openxmlformats.org/officeDocument/2006/relationships/hyperlink" Target="www.vgtvp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aipedospmrc.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1778</Words>
  <Characters>1014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Gal gali sugalvoti kokį anketos pavadinimą, kad rimčiau atrodytų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 gali sugalvoti kokį anketos pavadinimą, kad rimčiau atrodytų </dc:title>
  <dc:creator>Dokuzlar Rasa</dc:creator>
  <cp:lastModifiedBy>Lina V.</cp:lastModifiedBy>
  <cp:revision>5</cp:revision>
  <cp:lastPrinted>2015-04-08T10:59:00Z</cp:lastPrinted>
  <dcterms:created xsi:type="dcterms:W3CDTF">2015-09-04T13:31:00Z</dcterms:created>
  <dcterms:modified xsi:type="dcterms:W3CDTF">2015-10-13T10:13:00Z</dcterms:modified>
</cp:coreProperties>
</file>