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0D" w:rsidRDefault="00CC6587">
      <w:pPr>
        <w:pBdr>
          <w:top w:val="nil"/>
          <w:left w:val="nil"/>
          <w:bottom w:val="nil"/>
          <w:right w:val="nil"/>
          <w:between w:val="nil"/>
        </w:pBdr>
        <w:tabs>
          <w:tab w:val="left" w:pos="4680"/>
        </w:tabs>
        <w:spacing w:line="240" w:lineRule="auto"/>
        <w:ind w:left="0" w:hanging="2"/>
        <w:jc w:val="right"/>
        <w:rPr>
          <w:color w:val="000000"/>
          <w:szCs w:val="24"/>
        </w:rPr>
      </w:pPr>
      <w:r>
        <w:rPr>
          <w:color w:val="000000"/>
          <w:szCs w:val="24"/>
        </w:rPr>
        <w:t xml:space="preserve">Profesinio mokymo įstaigų pasirengimo </w:t>
      </w:r>
    </w:p>
    <w:p w:rsidR="0065170D" w:rsidRDefault="00CC6587">
      <w:pPr>
        <w:pBdr>
          <w:top w:val="nil"/>
          <w:left w:val="nil"/>
          <w:bottom w:val="nil"/>
          <w:right w:val="nil"/>
          <w:between w:val="nil"/>
        </w:pBdr>
        <w:tabs>
          <w:tab w:val="left" w:pos="4680"/>
        </w:tabs>
        <w:spacing w:line="240" w:lineRule="auto"/>
        <w:ind w:left="0" w:hanging="2"/>
        <w:jc w:val="right"/>
        <w:rPr>
          <w:color w:val="000000"/>
          <w:szCs w:val="24"/>
        </w:rPr>
      </w:pPr>
      <w:r>
        <w:rPr>
          <w:color w:val="000000"/>
          <w:szCs w:val="24"/>
        </w:rPr>
        <w:t xml:space="preserve">mokyti nuotoliniu būdu ekspertinio </w:t>
      </w:r>
    </w:p>
    <w:p w:rsidR="0065170D" w:rsidRDefault="00CC6587">
      <w:pPr>
        <w:pBdr>
          <w:top w:val="nil"/>
          <w:left w:val="nil"/>
          <w:bottom w:val="nil"/>
          <w:right w:val="nil"/>
          <w:between w:val="nil"/>
        </w:pBdr>
        <w:tabs>
          <w:tab w:val="left" w:pos="4680"/>
        </w:tabs>
        <w:spacing w:line="240" w:lineRule="auto"/>
        <w:ind w:left="0" w:hanging="2"/>
        <w:jc w:val="right"/>
        <w:rPr>
          <w:color w:val="000000"/>
          <w:szCs w:val="24"/>
        </w:rPr>
      </w:pPr>
      <w:r>
        <w:rPr>
          <w:color w:val="000000"/>
          <w:szCs w:val="24"/>
        </w:rPr>
        <w:t>vertinimo darbo reglamento</w:t>
      </w:r>
    </w:p>
    <w:p w:rsidR="0065170D" w:rsidRDefault="00CC6587">
      <w:pPr>
        <w:pBdr>
          <w:top w:val="nil"/>
          <w:left w:val="nil"/>
          <w:bottom w:val="nil"/>
          <w:right w:val="nil"/>
          <w:between w:val="nil"/>
        </w:pBdr>
        <w:tabs>
          <w:tab w:val="left" w:pos="4680"/>
        </w:tabs>
        <w:spacing w:line="240" w:lineRule="auto"/>
        <w:ind w:left="0" w:hanging="2"/>
        <w:jc w:val="right"/>
        <w:rPr>
          <w:color w:val="000000"/>
          <w:szCs w:val="24"/>
        </w:rPr>
      </w:pPr>
      <w:r>
        <w:rPr>
          <w:color w:val="000000"/>
          <w:szCs w:val="24"/>
        </w:rPr>
        <w:t>2 priedas</w:t>
      </w:r>
    </w:p>
    <w:p w:rsidR="0065170D" w:rsidRDefault="0065170D">
      <w:pPr>
        <w:pBdr>
          <w:top w:val="nil"/>
          <w:left w:val="nil"/>
          <w:bottom w:val="nil"/>
          <w:right w:val="nil"/>
          <w:between w:val="nil"/>
        </w:pBdr>
        <w:tabs>
          <w:tab w:val="left" w:pos="4680"/>
        </w:tabs>
        <w:spacing w:line="240" w:lineRule="auto"/>
        <w:ind w:left="0" w:hanging="2"/>
        <w:jc w:val="right"/>
        <w:rPr>
          <w:color w:val="000000"/>
          <w:szCs w:val="24"/>
        </w:rPr>
      </w:pPr>
    </w:p>
    <w:p w:rsidR="0065170D" w:rsidRDefault="00CC6587">
      <w:pPr>
        <w:pBdr>
          <w:top w:val="nil"/>
          <w:left w:val="nil"/>
          <w:bottom w:val="nil"/>
          <w:right w:val="nil"/>
          <w:between w:val="nil"/>
        </w:pBdr>
        <w:tabs>
          <w:tab w:val="left" w:pos="4680"/>
        </w:tabs>
        <w:spacing w:line="240" w:lineRule="auto"/>
        <w:ind w:left="0" w:hanging="2"/>
        <w:jc w:val="center"/>
        <w:rPr>
          <w:color w:val="000000"/>
          <w:szCs w:val="24"/>
        </w:rPr>
      </w:pPr>
      <w:r>
        <w:rPr>
          <w:color w:val="000000"/>
          <w:szCs w:val="24"/>
        </w:rPr>
        <w:t>(</w:t>
      </w:r>
      <w:r w:rsidRPr="005265E7">
        <w:rPr>
          <w:i/>
          <w:color w:val="000000"/>
          <w:szCs w:val="24"/>
        </w:rPr>
        <w:t>Profesinio mokymo įstaigos paraiškos forma</w:t>
      </w:r>
      <w:r>
        <w:rPr>
          <w:color w:val="000000"/>
          <w:szCs w:val="24"/>
        </w:rPr>
        <w:t>)</w:t>
      </w:r>
    </w:p>
    <w:p w:rsidR="0065170D" w:rsidRDefault="0065170D">
      <w:pPr>
        <w:pBdr>
          <w:top w:val="nil"/>
          <w:left w:val="nil"/>
          <w:bottom w:val="nil"/>
          <w:right w:val="nil"/>
          <w:between w:val="nil"/>
        </w:pBdr>
        <w:tabs>
          <w:tab w:val="left" w:pos="4680"/>
        </w:tabs>
        <w:spacing w:line="240" w:lineRule="auto"/>
        <w:ind w:left="0" w:hanging="2"/>
        <w:jc w:val="center"/>
        <w:rPr>
          <w:color w:val="000000"/>
          <w:szCs w:val="24"/>
        </w:rPr>
      </w:pPr>
    </w:p>
    <w:p w:rsidR="0065170D" w:rsidRDefault="00CC6587">
      <w:pPr>
        <w:pBdr>
          <w:top w:val="nil"/>
          <w:left w:val="nil"/>
          <w:bottom w:val="nil"/>
          <w:right w:val="nil"/>
          <w:between w:val="nil"/>
        </w:pBdr>
        <w:tabs>
          <w:tab w:val="left" w:pos="4680"/>
        </w:tabs>
        <w:spacing w:line="240" w:lineRule="auto"/>
        <w:ind w:left="0" w:hanging="2"/>
        <w:jc w:val="center"/>
        <w:rPr>
          <w:color w:val="000000"/>
          <w:szCs w:val="24"/>
        </w:rPr>
      </w:pPr>
      <w:r>
        <w:rPr>
          <w:b/>
          <w:color w:val="000000"/>
          <w:szCs w:val="24"/>
        </w:rPr>
        <w:t>PARAIŠKA</w:t>
      </w:r>
    </w:p>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 xml:space="preserve">DĖL   __________________________ PASIRENGIMO VYKDYTI MOKYMĄ </w:t>
      </w:r>
    </w:p>
    <w:p w:rsidR="0065170D" w:rsidRDefault="00CC6587">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                                     </w:t>
      </w:r>
      <w:r w:rsidR="005265E7">
        <w:rPr>
          <w:color w:val="000000"/>
          <w:sz w:val="16"/>
          <w:szCs w:val="16"/>
        </w:rPr>
        <w:t xml:space="preserve">                                                    </w:t>
      </w:r>
      <w:r>
        <w:rPr>
          <w:color w:val="000000"/>
          <w:sz w:val="16"/>
          <w:szCs w:val="16"/>
        </w:rPr>
        <w:t>(profesinio mokymo įstaigos pavadinimas)</w:t>
      </w:r>
    </w:p>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 xml:space="preserve"> NUOTOLINIU UGDYMO PROCESO ORGANIZAVIMO BŪDU </w:t>
      </w:r>
    </w:p>
    <w:p w:rsidR="0065170D" w:rsidRDefault="0065170D">
      <w:pPr>
        <w:pBdr>
          <w:top w:val="nil"/>
          <w:left w:val="nil"/>
          <w:bottom w:val="nil"/>
          <w:right w:val="nil"/>
          <w:between w:val="nil"/>
        </w:pBdr>
        <w:spacing w:after="240" w:line="240" w:lineRule="auto"/>
        <w:ind w:left="0" w:hanging="2"/>
        <w:jc w:val="left"/>
        <w:rPr>
          <w:color w:val="000000"/>
          <w:szCs w:val="24"/>
        </w:rPr>
      </w:pPr>
    </w:p>
    <w:p w:rsidR="0065170D" w:rsidRDefault="00CC6587" w:rsidP="005265E7">
      <w:pPr>
        <w:pBdr>
          <w:top w:val="nil"/>
          <w:left w:val="nil"/>
          <w:bottom w:val="nil"/>
          <w:right w:val="nil"/>
          <w:between w:val="nil"/>
        </w:pBdr>
        <w:spacing w:line="240" w:lineRule="auto"/>
        <w:ind w:left="-2" w:firstLineChars="354" w:firstLine="850"/>
        <w:rPr>
          <w:color w:val="000000"/>
          <w:szCs w:val="24"/>
        </w:rPr>
      </w:pPr>
      <w:r>
        <w:rPr>
          <w:color w:val="000000"/>
          <w:szCs w:val="24"/>
        </w:rPr>
        <w:t xml:space="preserve">Pažymime, kad _________________ įsivertinimas atitinka Mokymo </w:t>
      </w:r>
      <w:r w:rsidR="005265E7">
        <w:rPr>
          <w:color w:val="000000"/>
          <w:szCs w:val="24"/>
        </w:rPr>
        <w:t xml:space="preserve"> </w:t>
      </w:r>
      <w:bookmarkStart w:id="0" w:name="_GoBack"/>
      <w:bookmarkEnd w:id="0"/>
      <w:r>
        <w:rPr>
          <w:color w:val="000000"/>
          <w:szCs w:val="24"/>
        </w:rPr>
        <w:t>nuotoliniu ugdymo</w:t>
      </w:r>
      <w:r w:rsidR="005265E7">
        <w:rPr>
          <w:color w:val="000000"/>
          <w:szCs w:val="24"/>
        </w:rPr>
        <w:t xml:space="preserve">  </w:t>
      </w:r>
      <w:r>
        <w:rPr>
          <w:color w:val="000000"/>
          <w:szCs w:val="24"/>
        </w:rPr>
        <w:t xml:space="preserve"> </w:t>
      </w:r>
      <w:r w:rsidR="005265E7">
        <w:rPr>
          <w:color w:val="000000"/>
          <w:szCs w:val="24"/>
        </w:rPr>
        <w:t xml:space="preserve">proceso organizavimo </w:t>
      </w:r>
      <w:r w:rsidR="005265E7">
        <w:rPr>
          <w:color w:val="000000"/>
          <w:szCs w:val="24"/>
        </w:rPr>
        <w:t xml:space="preserve"> </w:t>
      </w:r>
      <w:r w:rsidR="005265E7">
        <w:rPr>
          <w:color w:val="000000"/>
          <w:szCs w:val="24"/>
        </w:rPr>
        <w:t>būdu</w:t>
      </w:r>
      <w:r w:rsidR="005265E7">
        <w:rPr>
          <w:color w:val="000000"/>
          <w:szCs w:val="24"/>
        </w:rPr>
        <w:t xml:space="preserve">   </w:t>
      </w:r>
      <w:r w:rsidR="005265E7">
        <w:rPr>
          <w:color w:val="000000"/>
          <w:szCs w:val="24"/>
        </w:rPr>
        <w:t xml:space="preserve"> kriterijaus </w:t>
      </w:r>
    </w:p>
    <w:p w:rsidR="0065170D" w:rsidRDefault="00CC6587">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                                              </w:t>
      </w:r>
      <w:r w:rsidR="002F5DC0">
        <w:rPr>
          <w:color w:val="000000"/>
          <w:sz w:val="16"/>
          <w:szCs w:val="16"/>
        </w:rPr>
        <w:t xml:space="preserve"> </w:t>
      </w:r>
      <w:r w:rsidR="005265E7">
        <w:rPr>
          <w:color w:val="000000"/>
          <w:sz w:val="16"/>
          <w:szCs w:val="16"/>
        </w:rPr>
        <w:t xml:space="preserve">    </w:t>
      </w:r>
      <w:r w:rsidR="002F5DC0">
        <w:rPr>
          <w:color w:val="000000"/>
          <w:sz w:val="16"/>
          <w:szCs w:val="16"/>
        </w:rPr>
        <w:t xml:space="preserve">   </w:t>
      </w:r>
      <w:r>
        <w:rPr>
          <w:color w:val="000000"/>
          <w:sz w:val="16"/>
          <w:szCs w:val="16"/>
        </w:rPr>
        <w:t>(profesinio mokymo įstaigos pavadinimas)</w:t>
      </w:r>
    </w:p>
    <w:p w:rsidR="0065170D" w:rsidRDefault="00CC6587">
      <w:pPr>
        <w:pBdr>
          <w:top w:val="nil"/>
          <w:left w:val="nil"/>
          <w:bottom w:val="nil"/>
          <w:right w:val="nil"/>
          <w:between w:val="nil"/>
        </w:pBdr>
        <w:spacing w:line="240" w:lineRule="auto"/>
        <w:ind w:left="0" w:hanging="2"/>
        <w:rPr>
          <w:color w:val="000000"/>
          <w:szCs w:val="24"/>
        </w:rPr>
      </w:pPr>
      <w:r>
        <w:rPr>
          <w:color w:val="000000"/>
          <w:szCs w:val="24"/>
        </w:rPr>
        <w:t xml:space="preserve"> </w:t>
      </w:r>
      <w:r w:rsidR="005265E7">
        <w:rPr>
          <w:color w:val="000000"/>
          <w:szCs w:val="24"/>
        </w:rPr>
        <w:t>aprašo, patvirtinto Lietuvos Respublikos</w:t>
      </w:r>
      <w:r w:rsidR="005265E7">
        <w:rPr>
          <w:color w:val="000000"/>
          <w:szCs w:val="24"/>
        </w:rPr>
        <w:t xml:space="preserve"> </w:t>
      </w:r>
      <w:r>
        <w:rPr>
          <w:color w:val="000000"/>
          <w:szCs w:val="24"/>
        </w:rPr>
        <w:t xml:space="preserve">švietimo, mokslo ir sporto ministro 2020 m. liepos 2 d. įsakymu Nr. V-1006 „Dėl Nuotolinio mokymo kriterijų aprašo patvirtinimo“ nuostatas bei esame susipažinę su Profesinio mokymo įstaigų pasirengimo mokyti nuotoliniu būdu ekspertinio vertinimo darbo reglamento, patvirtinto Kvalifikacijų ir profesinio mokymo plėtros centro 2020 m. spalio </w:t>
      </w:r>
      <w:r w:rsidR="00110DFC">
        <w:rPr>
          <w:color w:val="000000"/>
          <w:szCs w:val="24"/>
        </w:rPr>
        <w:t>21</w:t>
      </w:r>
      <w:r w:rsidRPr="008277B4">
        <w:rPr>
          <w:color w:val="000000"/>
          <w:szCs w:val="24"/>
        </w:rPr>
        <w:t xml:space="preserve"> d. įsakymu Nr. V1-</w:t>
      </w:r>
      <w:r w:rsidR="00110DFC">
        <w:rPr>
          <w:color w:val="000000"/>
          <w:szCs w:val="24"/>
        </w:rPr>
        <w:t>160</w:t>
      </w:r>
      <w:r>
        <w:rPr>
          <w:color w:val="000000"/>
          <w:szCs w:val="24"/>
        </w:rPr>
        <w:t xml:space="preserve"> „Dėl Profesinio mokymo įstaigų pasirengimo mokyti nuotoliniu būdu ekspertinio vertinimo darbo reglamento patvirtinimo“ nuostatomis.</w:t>
      </w:r>
    </w:p>
    <w:p w:rsidR="0065170D" w:rsidRDefault="0065170D">
      <w:pPr>
        <w:pBdr>
          <w:top w:val="nil"/>
          <w:left w:val="nil"/>
          <w:bottom w:val="nil"/>
          <w:right w:val="nil"/>
          <w:between w:val="nil"/>
        </w:pBdr>
        <w:spacing w:line="240" w:lineRule="auto"/>
        <w:ind w:left="0" w:hanging="2"/>
        <w:jc w:val="left"/>
        <w:rPr>
          <w:color w:val="000000"/>
          <w:szCs w:val="24"/>
        </w:rPr>
      </w:pPr>
    </w:p>
    <w:tbl>
      <w:tblPr>
        <w:tblStyle w:val="a"/>
        <w:tblW w:w="13603" w:type="dxa"/>
        <w:tblInd w:w="0" w:type="dxa"/>
        <w:tblLayout w:type="fixed"/>
        <w:tblLook w:val="0000" w:firstRow="0" w:lastRow="0" w:firstColumn="0" w:lastColumn="0" w:noHBand="0" w:noVBand="0"/>
      </w:tblPr>
      <w:tblGrid>
        <w:gridCol w:w="630"/>
        <w:gridCol w:w="5585"/>
        <w:gridCol w:w="1713"/>
        <w:gridCol w:w="5675"/>
      </w:tblGrid>
      <w:tr w:rsidR="0065170D" w:rsidTr="005265E7">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Eil. </w:t>
            </w:r>
          </w:p>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Nr. </w:t>
            </w:r>
          </w:p>
        </w:tc>
        <w:tc>
          <w:tcPr>
            <w:tcW w:w="55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Atitikties kriterijai</w:t>
            </w:r>
          </w:p>
        </w:tc>
        <w:tc>
          <w:tcPr>
            <w:tcW w:w="1713" w:type="dxa"/>
            <w:tcBorders>
              <w:top w:val="single" w:sz="4" w:space="0" w:color="000000"/>
              <w:left w:val="single" w:sz="4" w:space="0" w:color="000000"/>
              <w:bottom w:val="single" w:sz="4" w:space="0" w:color="000000"/>
              <w:right w:val="single" w:sz="4" w:space="0" w:color="000000"/>
            </w:tcBorders>
            <w:shd w:val="clear" w:color="auto" w:fill="D9D9D9"/>
          </w:tcPr>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 xml:space="preserve">Įsivertinimo rezultatas </w:t>
            </w:r>
          </w:p>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w:t>
            </w:r>
            <w:r>
              <w:rPr>
                <w:b/>
                <w:i/>
                <w:color w:val="000000"/>
                <w:szCs w:val="24"/>
              </w:rPr>
              <w:t>Atitinka</w:t>
            </w:r>
            <w:r>
              <w:rPr>
                <w:b/>
                <w:color w:val="000000"/>
                <w:szCs w:val="24"/>
              </w:rPr>
              <w:t>“ arba „</w:t>
            </w:r>
            <w:r>
              <w:rPr>
                <w:b/>
                <w:i/>
                <w:color w:val="000000"/>
                <w:szCs w:val="24"/>
              </w:rPr>
              <w:t>Neatitinka</w:t>
            </w:r>
            <w:r>
              <w:rPr>
                <w:b/>
                <w:color w:val="000000"/>
                <w:szCs w:val="24"/>
              </w:rPr>
              <w:t>“</w:t>
            </w:r>
          </w:p>
        </w:tc>
        <w:tc>
          <w:tcPr>
            <w:tcW w:w="5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center"/>
              <w:rPr>
                <w:color w:val="000000"/>
                <w:szCs w:val="24"/>
              </w:rPr>
            </w:pPr>
            <w:r>
              <w:rPr>
                <w:b/>
                <w:color w:val="000000"/>
                <w:szCs w:val="24"/>
              </w:rPr>
              <w:t>Atitikties rezultatą pagrindžianti informacija</w:t>
            </w:r>
          </w:p>
        </w:tc>
      </w:tr>
      <w:tr w:rsidR="0065170D" w:rsidTr="005265E7">
        <w:trPr>
          <w:trHeight w:val="527"/>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 w:val="22"/>
                <w:szCs w:val="22"/>
              </w:rPr>
              <w:t>1. </w:t>
            </w:r>
          </w:p>
        </w:tc>
        <w:tc>
          <w:tcPr>
            <w:tcW w:w="129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Mokykla yra įvaldžiusi naudojamą virtualią mokymo aplinką, kurią sudaro bendra sistema ir / ar keletas skirtingų technologinių priemonių:</w:t>
            </w: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 w:val="22"/>
                <w:szCs w:val="22"/>
              </w:rPr>
              <w:t>1.1.</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Elektroninis dienynas.</w:t>
            </w: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 w:val="22"/>
                <w:szCs w:val="22"/>
              </w:rPr>
              <w:t>1.2.</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Keitimosi failais priemonė, pvz., mokinių darbams ir kūriniams kaupti ir vertinti skirtas aplankas (e. portfelis), diskai „debesyse“ ir kt.</w:t>
            </w: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 w:val="22"/>
                <w:szCs w:val="22"/>
              </w:rPr>
              <w:t>1.3.</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highlight w:val="white"/>
              </w:rPr>
              <w:t>Asinchroninės komunikacijos priemonės, pvz., elektroninis paštas (rekomenduojama mokykloms turėti mokyklos vardu registruotą el. pašto sistemą).</w:t>
            </w:r>
          </w:p>
          <w:p w:rsidR="005265E7" w:rsidRDefault="005265E7">
            <w:pPr>
              <w:pBdr>
                <w:top w:val="nil"/>
                <w:left w:val="nil"/>
                <w:bottom w:val="nil"/>
                <w:right w:val="nil"/>
                <w:between w:val="nil"/>
              </w:pBdr>
              <w:spacing w:line="240" w:lineRule="auto"/>
              <w:ind w:left="0" w:hanging="2"/>
              <w:rPr>
                <w:color w:val="000000"/>
                <w:szCs w:val="24"/>
              </w:rPr>
            </w:pPr>
          </w:p>
          <w:p w:rsidR="005265E7" w:rsidRDefault="005265E7">
            <w:pPr>
              <w:pBdr>
                <w:top w:val="nil"/>
                <w:left w:val="nil"/>
                <w:bottom w:val="nil"/>
                <w:right w:val="nil"/>
                <w:between w:val="nil"/>
              </w:pBdr>
              <w:spacing w:line="240" w:lineRule="auto"/>
              <w:ind w:left="0" w:hanging="2"/>
              <w:rPr>
                <w:color w:val="000000"/>
                <w:szCs w:val="24"/>
              </w:rPr>
            </w:pP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 w:val="22"/>
                <w:szCs w:val="22"/>
              </w:rPr>
              <w:lastRenderedPageBreak/>
              <w:t>1.4.</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Sinchroninės komunikacijos priemonės, pvz., skaitmeninis pokalbių kambarys (rekomenduojama mokykloms turėti mokyklos vardu registruotą priemonę).</w:t>
            </w: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Cs w:val="24"/>
              </w:rPr>
              <w:t>1.5.</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Priemonės, pritaikytos mokiniams, turintiems specialiųjų ugdymosi poreikių (pvz., klaviatūros silpnaregiams, motorikos sutrikimų turintiems asmenims; alternatyvios ar akimis valdomos pelės; ekrano didinimo stiklai; teksto sintezatoriai ir pan.), pagal mokinių poreikius.</w:t>
            </w:r>
          </w:p>
          <w:p w:rsidR="0011352A" w:rsidRDefault="0011352A">
            <w:pPr>
              <w:pBdr>
                <w:top w:val="nil"/>
                <w:left w:val="nil"/>
                <w:bottom w:val="nil"/>
                <w:right w:val="nil"/>
                <w:between w:val="nil"/>
              </w:pBdr>
              <w:spacing w:line="240" w:lineRule="auto"/>
              <w:ind w:left="0" w:hanging="2"/>
              <w:rPr>
                <w:color w:val="000000"/>
                <w:szCs w:val="24"/>
              </w:rPr>
            </w:pP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2. </w:t>
            </w:r>
          </w:p>
        </w:tc>
        <w:tc>
          <w:tcPr>
            <w:tcW w:w="129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Mokinių kompetencijoms ugdyti(</w:t>
            </w:r>
            <w:proofErr w:type="spellStart"/>
            <w:r>
              <w:rPr>
                <w:b/>
                <w:color w:val="000000"/>
                <w:szCs w:val="24"/>
              </w:rPr>
              <w:t>is</w:t>
            </w:r>
            <w:proofErr w:type="spellEnd"/>
            <w:r>
              <w:rPr>
                <w:b/>
                <w:color w:val="000000"/>
                <w:szCs w:val="24"/>
              </w:rPr>
              <w:t>) / įgyti naudojamos mokymo(</w:t>
            </w:r>
            <w:proofErr w:type="spellStart"/>
            <w:r>
              <w:rPr>
                <w:b/>
                <w:color w:val="000000"/>
                <w:szCs w:val="24"/>
              </w:rPr>
              <w:t>si</w:t>
            </w:r>
            <w:proofErr w:type="spellEnd"/>
            <w:r>
              <w:rPr>
                <w:b/>
                <w:color w:val="000000"/>
                <w:szCs w:val="24"/>
              </w:rPr>
              <w:t>) priemonės ir ištekliai, kurie yra kaupiami mokyklos naudojamoje virtualioje mokymo(</w:t>
            </w:r>
            <w:proofErr w:type="spellStart"/>
            <w:r>
              <w:rPr>
                <w:b/>
                <w:color w:val="000000"/>
                <w:szCs w:val="24"/>
              </w:rPr>
              <w:t>si</w:t>
            </w:r>
            <w:proofErr w:type="spellEnd"/>
            <w:r>
              <w:rPr>
                <w:b/>
                <w:color w:val="000000"/>
                <w:szCs w:val="24"/>
              </w:rPr>
              <w:t>) aplinkoje:</w:t>
            </w: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Cs w:val="24"/>
              </w:rPr>
              <w:t>2.1.</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Pamokų, veiklų ir konsultacijų tvarkaraštis. Tvarkaraštį laikinai į užsienį išvykusiems mokiniams ar nuolat užsienyje gyvenantiems asmenims sudaro mokykla, įvertinusi galimus laiko zonų skirtumus.</w:t>
            </w:r>
          </w:p>
          <w:p w:rsidR="0065170D" w:rsidRDefault="0065170D">
            <w:pPr>
              <w:pBdr>
                <w:top w:val="nil"/>
                <w:left w:val="nil"/>
                <w:bottom w:val="nil"/>
                <w:right w:val="nil"/>
                <w:between w:val="nil"/>
              </w:pBdr>
              <w:spacing w:line="240" w:lineRule="auto"/>
              <w:ind w:left="0" w:hanging="2"/>
              <w:rPr>
                <w:color w:val="000000"/>
                <w:szCs w:val="24"/>
              </w:rPr>
            </w:pP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Cs w:val="24"/>
              </w:rPr>
              <w:t>2.2.</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Dalyko /</w:t>
            </w:r>
            <w:r>
              <w:rPr>
                <w:b/>
                <w:color w:val="000000"/>
                <w:szCs w:val="24"/>
              </w:rPr>
              <w:t xml:space="preserve"> </w:t>
            </w:r>
            <w:r>
              <w:rPr>
                <w:color w:val="000000"/>
                <w:szCs w:val="24"/>
              </w:rPr>
              <w:t>modulio mokymo(</w:t>
            </w:r>
            <w:proofErr w:type="spellStart"/>
            <w:r>
              <w:rPr>
                <w:color w:val="000000"/>
                <w:szCs w:val="24"/>
              </w:rPr>
              <w:t>si</w:t>
            </w:r>
            <w:proofErr w:type="spellEnd"/>
            <w:r>
              <w:rPr>
                <w:color w:val="000000"/>
                <w:szCs w:val="24"/>
              </w:rPr>
              <w:t>) turinio planas (pvz., temų pavadinimai, veiklos, laikas temai, ciklui ir kt.).</w:t>
            </w:r>
          </w:p>
          <w:p w:rsidR="0065170D" w:rsidRDefault="0065170D">
            <w:pPr>
              <w:pBdr>
                <w:top w:val="nil"/>
                <w:left w:val="nil"/>
                <w:bottom w:val="nil"/>
                <w:right w:val="nil"/>
                <w:between w:val="nil"/>
              </w:pBdr>
              <w:spacing w:line="240" w:lineRule="auto"/>
              <w:ind w:left="0" w:hanging="2"/>
              <w:rPr>
                <w:color w:val="000000"/>
                <w:szCs w:val="24"/>
              </w:rPr>
            </w:pP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Cs w:val="24"/>
              </w:rPr>
              <w:t>2.3.</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Mokymo(</w:t>
            </w:r>
            <w:proofErr w:type="spellStart"/>
            <w:r>
              <w:rPr>
                <w:color w:val="000000"/>
                <w:szCs w:val="24"/>
              </w:rPr>
              <w:t>si</w:t>
            </w:r>
            <w:proofErr w:type="spellEnd"/>
            <w:r>
              <w:rPr>
                <w:color w:val="000000"/>
                <w:szCs w:val="24"/>
              </w:rPr>
              <w:t xml:space="preserve">) ištekliai: sąvokos, vadovėliai, temai aktuali garso ir vaizdo medžiaga, </w:t>
            </w:r>
            <w:proofErr w:type="spellStart"/>
            <w:r>
              <w:rPr>
                <w:color w:val="000000"/>
                <w:szCs w:val="24"/>
              </w:rPr>
              <w:t>pateiktys</w:t>
            </w:r>
            <w:proofErr w:type="spellEnd"/>
            <w:r>
              <w:rPr>
                <w:color w:val="000000"/>
                <w:szCs w:val="24"/>
              </w:rPr>
              <w:t xml:space="preserve">, veiklų / užduočių pavyzdžiai, nuorodos į mokymosi išteklius (pvz., </w:t>
            </w:r>
            <w:proofErr w:type="spellStart"/>
            <w:r>
              <w:rPr>
                <w:color w:val="000000"/>
                <w:szCs w:val="24"/>
              </w:rPr>
              <w:t>simuliaciniai</w:t>
            </w:r>
            <w:proofErr w:type="spellEnd"/>
            <w:r>
              <w:rPr>
                <w:color w:val="000000"/>
                <w:szCs w:val="24"/>
              </w:rPr>
              <w:t xml:space="preserve"> skaitmeniniai mokymosi resursai ir kt.), užduočių paketai (rekomenduojama pagal pasiekimų lygmenis), teorinių ir praktinių užduočių sąsiuviniai (profesiniam mokymui) mokymuisi ir atsiskaitymui.</w:t>
            </w:r>
          </w:p>
        </w:tc>
        <w:tc>
          <w:tcPr>
            <w:tcW w:w="1713" w:type="dxa"/>
            <w:tcBorders>
              <w:top w:val="single" w:sz="4" w:space="0" w:color="000000"/>
              <w:left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color w:val="000000"/>
                <w:szCs w:val="24"/>
              </w:rPr>
              <w:br/>
              <w:t>2.4.</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color w:val="000000"/>
                <w:szCs w:val="24"/>
              </w:rPr>
              <w:t>Apibrėžti mokymo(</w:t>
            </w:r>
            <w:proofErr w:type="spellStart"/>
            <w:r>
              <w:rPr>
                <w:color w:val="000000"/>
                <w:szCs w:val="24"/>
              </w:rPr>
              <w:t>si</w:t>
            </w:r>
            <w:proofErr w:type="spellEnd"/>
            <w:r>
              <w:rPr>
                <w:color w:val="000000"/>
                <w:szCs w:val="24"/>
              </w:rPr>
              <w:t>) pasiekimų vertinimo kriterijai, atsižvelgiant į nuotolinio mokymo organizavimo specifiką.</w:t>
            </w:r>
          </w:p>
          <w:p w:rsidR="005265E7" w:rsidRDefault="005265E7">
            <w:pPr>
              <w:pBdr>
                <w:top w:val="nil"/>
                <w:left w:val="nil"/>
                <w:bottom w:val="nil"/>
                <w:right w:val="nil"/>
                <w:between w:val="nil"/>
              </w:pBdr>
              <w:spacing w:line="240" w:lineRule="auto"/>
              <w:ind w:left="0" w:hanging="2"/>
              <w:rPr>
                <w:color w:val="000000"/>
                <w:szCs w:val="24"/>
              </w:rPr>
            </w:pPr>
          </w:p>
          <w:p w:rsidR="005265E7" w:rsidRDefault="005265E7">
            <w:pPr>
              <w:pBdr>
                <w:top w:val="nil"/>
                <w:left w:val="nil"/>
                <w:bottom w:val="nil"/>
                <w:right w:val="nil"/>
                <w:between w:val="nil"/>
              </w:pBdr>
              <w:spacing w:line="240" w:lineRule="auto"/>
              <w:ind w:left="0" w:hanging="2"/>
              <w:rPr>
                <w:color w:val="000000"/>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 w:val="20"/>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lastRenderedPageBreak/>
              <w:t>3.</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b/>
                <w:color w:val="000000"/>
                <w:szCs w:val="24"/>
              </w:rPr>
              <w:t>Mokytojai, mokantys mokinius nuotoliniu ugdymo proceso organizavimo būdu, yra įgiję skaitmeninio raštingumo kompetencijas, numatytas Reikalavimų mokytojų ir pagalbos mokiniui specialistų skaitmeninio raštingumo programoms apraše, patvirtintame Lietuvos Respublikos švietimo ir mokslo ministro 2007 m. kovo 29 d. įsakymu Nr. ISAK-555 „Dėl Reikalavimų mokytojų ir pagalbos mokiniui specialistų skaitmeninio raštingumo programoms aprašo patvirtinimo“, ir taiko jas ugdymo turiniui kurti, ugdymui planuoti ir organizuoti, mokinių mokymo procesui bei pažangai stebėti ir vertinti, bendradarbiauti su kitais mokytojais ir pagalbos mokiniui specialistais, tėvais (globėjais, rūpintojais).</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 w:val="20"/>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4.</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352A" w:rsidRDefault="00CC6587" w:rsidP="005265E7">
            <w:pPr>
              <w:pBdr>
                <w:top w:val="nil"/>
                <w:left w:val="nil"/>
                <w:bottom w:val="nil"/>
                <w:right w:val="nil"/>
                <w:between w:val="nil"/>
              </w:pBdr>
              <w:spacing w:line="240" w:lineRule="auto"/>
              <w:ind w:left="0" w:hanging="2"/>
              <w:rPr>
                <w:color w:val="000000"/>
                <w:szCs w:val="24"/>
              </w:rPr>
            </w:pPr>
            <w:r>
              <w:rPr>
                <w:b/>
                <w:color w:val="000000"/>
                <w:szCs w:val="24"/>
              </w:rPr>
              <w:t>Mokykla, ketinanti vykdyti ugdymo procesą nuotoliniu būdu, parengia mokymo nuotoliniu ugdymo proceso organizavimo būdu aprašo projektą arba kitus mokyklos vidaus teisės aktų projektus, reglamentuojančius mokymą nuotoliniu ugdymo proceso organizavimo būdu mokykloje, pvz., mokyklos ugdymo plane.</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 w:val="20"/>
              </w:rPr>
            </w:pPr>
          </w:p>
        </w:tc>
      </w:tr>
      <w:tr w:rsidR="0065170D" w:rsidTr="005265E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jc w:val="left"/>
              <w:rPr>
                <w:color w:val="000000"/>
                <w:szCs w:val="24"/>
              </w:rPr>
            </w:pPr>
            <w:r>
              <w:rPr>
                <w:b/>
                <w:color w:val="000000"/>
                <w:szCs w:val="24"/>
              </w:rPr>
              <w:t>5.</w:t>
            </w:r>
          </w:p>
        </w:tc>
        <w:tc>
          <w:tcPr>
            <w:tcW w:w="5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CC6587">
            <w:pPr>
              <w:pBdr>
                <w:top w:val="nil"/>
                <w:left w:val="nil"/>
                <w:bottom w:val="nil"/>
                <w:right w:val="nil"/>
                <w:between w:val="nil"/>
              </w:pBdr>
              <w:spacing w:line="240" w:lineRule="auto"/>
              <w:ind w:left="0" w:hanging="2"/>
              <w:rPr>
                <w:color w:val="000000"/>
                <w:szCs w:val="24"/>
              </w:rPr>
            </w:pPr>
            <w:r>
              <w:rPr>
                <w:b/>
                <w:color w:val="000000"/>
                <w:szCs w:val="24"/>
              </w:rPr>
              <w:t>Mokykloje yra užtikrinama mokymui(</w:t>
            </w:r>
            <w:proofErr w:type="spellStart"/>
            <w:r>
              <w:rPr>
                <w:b/>
                <w:color w:val="000000"/>
                <w:szCs w:val="24"/>
              </w:rPr>
              <w:t>si</w:t>
            </w:r>
            <w:proofErr w:type="spellEnd"/>
            <w:r>
              <w:rPr>
                <w:b/>
                <w:color w:val="000000"/>
                <w:szCs w:val="24"/>
              </w:rPr>
              <w:t>) nuotoliniu ugdymo proceso organizavimo būdu reikalinga kompiuterinė įranga ir interneto prieiga.</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70D" w:rsidRDefault="0065170D">
            <w:pPr>
              <w:pBdr>
                <w:top w:val="nil"/>
                <w:left w:val="nil"/>
                <w:bottom w:val="nil"/>
                <w:right w:val="nil"/>
                <w:between w:val="nil"/>
              </w:pBdr>
              <w:spacing w:line="240" w:lineRule="auto"/>
              <w:ind w:left="0" w:hanging="2"/>
              <w:jc w:val="left"/>
              <w:rPr>
                <w:color w:val="000000"/>
                <w:szCs w:val="24"/>
              </w:rPr>
            </w:pPr>
          </w:p>
        </w:tc>
        <w:tc>
          <w:tcPr>
            <w:tcW w:w="5675" w:type="dxa"/>
            <w:tcBorders>
              <w:top w:val="single" w:sz="4" w:space="0" w:color="000000"/>
              <w:bottom w:val="single" w:sz="4" w:space="0" w:color="000000"/>
              <w:right w:val="single" w:sz="4" w:space="0" w:color="000000"/>
            </w:tcBorders>
          </w:tcPr>
          <w:p w:rsidR="0065170D" w:rsidRDefault="0065170D">
            <w:pPr>
              <w:pBdr>
                <w:top w:val="nil"/>
                <w:left w:val="nil"/>
                <w:bottom w:val="nil"/>
                <w:right w:val="nil"/>
                <w:between w:val="nil"/>
              </w:pBdr>
              <w:spacing w:line="240" w:lineRule="auto"/>
              <w:ind w:left="0" w:hanging="2"/>
              <w:jc w:val="left"/>
              <w:rPr>
                <w:color w:val="000000"/>
                <w:sz w:val="20"/>
              </w:rPr>
            </w:pPr>
          </w:p>
        </w:tc>
      </w:tr>
    </w:tbl>
    <w:p w:rsidR="0011352A" w:rsidRDefault="00CC6587">
      <w:pPr>
        <w:pBdr>
          <w:top w:val="nil"/>
          <w:left w:val="nil"/>
          <w:bottom w:val="nil"/>
          <w:right w:val="nil"/>
          <w:between w:val="nil"/>
        </w:pBdr>
        <w:spacing w:line="240" w:lineRule="auto"/>
        <w:ind w:left="0" w:hanging="2"/>
        <w:jc w:val="center"/>
        <w:rPr>
          <w:color w:val="000000"/>
          <w:szCs w:val="24"/>
        </w:rPr>
      </w:pPr>
      <w:r>
        <w:rPr>
          <w:color w:val="000000"/>
          <w:szCs w:val="24"/>
        </w:rPr>
        <w:br/>
      </w:r>
    </w:p>
    <w:p w:rsidR="0065170D" w:rsidRDefault="00CC6587" w:rsidP="002F5DC0">
      <w:pPr>
        <w:pBdr>
          <w:top w:val="nil"/>
          <w:left w:val="nil"/>
          <w:bottom w:val="nil"/>
          <w:right w:val="nil"/>
          <w:between w:val="nil"/>
        </w:pBdr>
        <w:spacing w:line="240" w:lineRule="auto"/>
        <w:ind w:left="-2" w:firstLineChars="354" w:firstLine="850"/>
        <w:jc w:val="center"/>
        <w:rPr>
          <w:color w:val="000000"/>
          <w:szCs w:val="24"/>
        </w:rPr>
      </w:pPr>
      <w:r>
        <w:rPr>
          <w:color w:val="000000"/>
          <w:szCs w:val="24"/>
        </w:rPr>
        <w:t xml:space="preserve">Patvirtinu, kad aukščiau nurodyti  ________________ pasirengimo mokyti nuotoliniu </w:t>
      </w:r>
    </w:p>
    <w:p w:rsidR="0065170D" w:rsidRDefault="00CC6587">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                                                                        </w:t>
      </w:r>
      <w:r w:rsidR="002F5DC0">
        <w:rPr>
          <w:color w:val="000000"/>
          <w:sz w:val="16"/>
          <w:szCs w:val="16"/>
        </w:rPr>
        <w:t xml:space="preserve">                        </w:t>
      </w:r>
      <w:r>
        <w:rPr>
          <w:color w:val="000000"/>
          <w:sz w:val="16"/>
          <w:szCs w:val="16"/>
        </w:rPr>
        <w:t xml:space="preserve">  (profesinio mokymo įstaigos pavadinimas)</w:t>
      </w:r>
    </w:p>
    <w:p w:rsidR="0065170D" w:rsidRDefault="002F5DC0">
      <w:pPr>
        <w:pBdr>
          <w:top w:val="nil"/>
          <w:left w:val="nil"/>
          <w:bottom w:val="nil"/>
          <w:right w:val="nil"/>
          <w:between w:val="nil"/>
        </w:pBdr>
        <w:spacing w:line="240" w:lineRule="auto"/>
        <w:ind w:left="0" w:hanging="2"/>
        <w:jc w:val="left"/>
        <w:rPr>
          <w:color w:val="000000"/>
          <w:szCs w:val="24"/>
        </w:rPr>
      </w:pPr>
      <w:r>
        <w:rPr>
          <w:color w:val="000000"/>
          <w:szCs w:val="24"/>
        </w:rPr>
        <w:t xml:space="preserve">būdu </w:t>
      </w:r>
      <w:r w:rsidR="00CC6587">
        <w:rPr>
          <w:color w:val="000000"/>
          <w:szCs w:val="24"/>
        </w:rPr>
        <w:t>įsivertinimo duomenys ir informacija yra teisingi.</w:t>
      </w:r>
    </w:p>
    <w:p w:rsidR="0065170D" w:rsidRDefault="0065170D">
      <w:pPr>
        <w:pBdr>
          <w:top w:val="nil"/>
          <w:left w:val="nil"/>
          <w:bottom w:val="nil"/>
          <w:right w:val="nil"/>
          <w:between w:val="nil"/>
        </w:pBdr>
        <w:spacing w:line="240" w:lineRule="auto"/>
        <w:ind w:left="0" w:hanging="2"/>
        <w:jc w:val="left"/>
        <w:rPr>
          <w:color w:val="000000"/>
          <w:szCs w:val="24"/>
        </w:rPr>
      </w:pPr>
    </w:p>
    <w:p w:rsidR="0065170D" w:rsidRDefault="0065170D">
      <w:pPr>
        <w:pBdr>
          <w:top w:val="nil"/>
          <w:left w:val="nil"/>
          <w:bottom w:val="nil"/>
          <w:right w:val="nil"/>
          <w:between w:val="nil"/>
        </w:pBdr>
        <w:spacing w:line="240" w:lineRule="auto"/>
        <w:ind w:left="0" w:hanging="2"/>
        <w:jc w:val="left"/>
        <w:rPr>
          <w:color w:val="000000"/>
          <w:szCs w:val="24"/>
        </w:rPr>
      </w:pPr>
    </w:p>
    <w:p w:rsidR="005265E7" w:rsidRDefault="00CC6587">
      <w:pPr>
        <w:pBdr>
          <w:top w:val="nil"/>
          <w:left w:val="nil"/>
          <w:bottom w:val="nil"/>
          <w:right w:val="nil"/>
          <w:between w:val="nil"/>
        </w:pBdr>
        <w:tabs>
          <w:tab w:val="left" w:pos="4680"/>
        </w:tabs>
        <w:spacing w:line="240" w:lineRule="auto"/>
        <w:ind w:left="0" w:hanging="2"/>
        <w:jc w:val="left"/>
        <w:rPr>
          <w:color w:val="000000"/>
          <w:szCs w:val="24"/>
        </w:rPr>
      </w:pPr>
      <w:r>
        <w:rPr>
          <w:color w:val="000000"/>
          <w:szCs w:val="24"/>
        </w:rPr>
        <w:t>_______________________________________________________</w:t>
      </w:r>
    </w:p>
    <w:p w:rsidR="0065170D" w:rsidRDefault="00CC6587">
      <w:pPr>
        <w:pBdr>
          <w:top w:val="nil"/>
          <w:left w:val="nil"/>
          <w:bottom w:val="nil"/>
          <w:right w:val="nil"/>
          <w:between w:val="nil"/>
        </w:pBdr>
        <w:tabs>
          <w:tab w:val="left" w:pos="4680"/>
        </w:tabs>
        <w:spacing w:line="240" w:lineRule="auto"/>
        <w:ind w:left="0" w:hanging="2"/>
        <w:jc w:val="left"/>
        <w:rPr>
          <w:color w:val="000000"/>
          <w:sz w:val="16"/>
          <w:szCs w:val="16"/>
        </w:rPr>
      </w:pPr>
      <w:r>
        <w:rPr>
          <w:color w:val="000000"/>
          <w:sz w:val="16"/>
          <w:szCs w:val="16"/>
        </w:rPr>
        <w:t>(profesinio mokymo įstaigos vadovo ar jo įgalioto asmens pareigos, vardas, pavardė, parašas, data)</w:t>
      </w:r>
    </w:p>
    <w:p w:rsidR="0065170D" w:rsidRDefault="0065170D">
      <w:pPr>
        <w:pBdr>
          <w:top w:val="nil"/>
          <w:left w:val="nil"/>
          <w:bottom w:val="nil"/>
          <w:right w:val="nil"/>
          <w:between w:val="nil"/>
        </w:pBdr>
        <w:tabs>
          <w:tab w:val="left" w:pos="4680"/>
        </w:tabs>
        <w:spacing w:line="240" w:lineRule="auto"/>
        <w:ind w:left="0" w:hanging="2"/>
        <w:jc w:val="left"/>
        <w:rPr>
          <w:color w:val="000000"/>
          <w:sz w:val="16"/>
          <w:szCs w:val="16"/>
        </w:rPr>
      </w:pPr>
    </w:p>
    <w:p w:rsidR="0065170D" w:rsidRDefault="00CC6587">
      <w:pPr>
        <w:pBdr>
          <w:top w:val="nil"/>
          <w:left w:val="nil"/>
          <w:bottom w:val="nil"/>
          <w:right w:val="nil"/>
          <w:between w:val="nil"/>
        </w:pBdr>
        <w:tabs>
          <w:tab w:val="left" w:pos="4680"/>
        </w:tabs>
        <w:spacing w:line="240" w:lineRule="auto"/>
        <w:ind w:left="0" w:hanging="2"/>
        <w:jc w:val="right"/>
        <w:rPr>
          <w:color w:val="000000"/>
          <w:szCs w:val="24"/>
        </w:rPr>
      </w:pPr>
      <w:r>
        <w:rPr>
          <w:color w:val="000000"/>
          <w:szCs w:val="24"/>
        </w:rPr>
        <w:t xml:space="preserve">    </w:t>
      </w:r>
    </w:p>
    <w:sectPr w:rsidR="0065170D" w:rsidSect="005265E7">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1134" w:bottom="1183" w:left="1134" w:header="709" w:footer="709" w:gutter="0"/>
      <w:pgNumType w:start="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15" w:rsidRDefault="00991815">
      <w:pPr>
        <w:spacing w:line="240" w:lineRule="auto"/>
        <w:ind w:left="0" w:hanging="2"/>
      </w:pPr>
      <w:r>
        <w:separator/>
      </w:r>
    </w:p>
  </w:endnote>
  <w:endnote w:type="continuationSeparator" w:id="0">
    <w:p w:rsidR="00991815" w:rsidRDefault="009918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2A" w:rsidRDefault="0011352A">
    <w:pPr>
      <w:pStyle w:val="Porat"/>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0D" w:rsidRDefault="00CC6587">
    <w:pPr>
      <w:pBdr>
        <w:top w:val="nil"/>
        <w:left w:val="nil"/>
        <w:bottom w:val="nil"/>
        <w:right w:val="nil"/>
        <w:between w:val="nil"/>
      </w:pBdr>
      <w:tabs>
        <w:tab w:val="center" w:pos="4986"/>
        <w:tab w:val="right" w:pos="9972"/>
      </w:tabs>
      <w:ind w:left="0" w:hanging="2"/>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5265E7">
      <w:rPr>
        <w:noProof/>
        <w:color w:val="000000"/>
        <w:szCs w:val="24"/>
      </w:rPr>
      <w:t>2</w:t>
    </w:r>
    <w:r>
      <w:rPr>
        <w:color w:val="000000"/>
        <w:szCs w:val="24"/>
      </w:rPr>
      <w:fldChar w:fldCharType="end"/>
    </w:r>
  </w:p>
  <w:p w:rsidR="0065170D" w:rsidRDefault="0065170D">
    <w:pPr>
      <w:pBdr>
        <w:top w:val="nil"/>
        <w:left w:val="nil"/>
        <w:bottom w:val="nil"/>
        <w:right w:val="nil"/>
        <w:between w:val="nil"/>
      </w:pBdr>
      <w:tabs>
        <w:tab w:val="center" w:pos="4986"/>
        <w:tab w:val="right" w:pos="9972"/>
      </w:tabs>
      <w:ind w:left="0" w:hanging="2"/>
      <w:rPr>
        <w:color w:val="000000"/>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2A" w:rsidRDefault="0011352A">
    <w:pPr>
      <w:pStyle w:val="Porat"/>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15" w:rsidRDefault="00991815">
      <w:pPr>
        <w:spacing w:line="240" w:lineRule="auto"/>
        <w:ind w:left="0" w:hanging="2"/>
      </w:pPr>
      <w:r>
        <w:separator/>
      </w:r>
    </w:p>
  </w:footnote>
  <w:footnote w:type="continuationSeparator" w:id="0">
    <w:p w:rsidR="00991815" w:rsidRDefault="009918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2A" w:rsidRDefault="0011352A">
    <w:pPr>
      <w:pStyle w:val="Antrats"/>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0D" w:rsidRPr="0011352A" w:rsidRDefault="0065170D" w:rsidP="0011352A">
    <w:pPr>
      <w:pStyle w:val="Antrats"/>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2A" w:rsidRDefault="0011352A" w:rsidP="0011352A">
    <w:pPr>
      <w:pStyle w:val="Antrats"/>
      <w:ind w:left="0" w:hanging="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9C8"/>
    <w:multiLevelType w:val="multilevel"/>
    <w:tmpl w:val="73D8BCD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7C675A2"/>
    <w:multiLevelType w:val="multilevel"/>
    <w:tmpl w:val="2A427E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AA50FB6"/>
    <w:multiLevelType w:val="multilevel"/>
    <w:tmpl w:val="EA684CB4"/>
    <w:lvl w:ilvl="0">
      <w:start w:val="17"/>
      <w:numFmt w:val="decimal"/>
      <w:lvlText w:val="%1."/>
      <w:lvlJc w:val="left"/>
      <w:pPr>
        <w:ind w:left="480" w:hanging="480"/>
      </w:pPr>
      <w:rPr>
        <w:vertAlign w:val="baseline"/>
      </w:rPr>
    </w:lvl>
    <w:lvl w:ilvl="1">
      <w:start w:val="1"/>
      <w:numFmt w:val="decimal"/>
      <w:lvlText w:val="%1.%2."/>
      <w:lvlJc w:val="left"/>
      <w:pPr>
        <w:ind w:left="1473" w:hanging="479"/>
      </w:pPr>
      <w:rPr>
        <w:vertAlign w:val="baseline"/>
      </w:rPr>
    </w:lvl>
    <w:lvl w:ilvl="2">
      <w:start w:val="1"/>
      <w:numFmt w:val="decimal"/>
      <w:lvlText w:val="%1.%2.%3."/>
      <w:lvlJc w:val="left"/>
      <w:pPr>
        <w:ind w:left="2706" w:hanging="719"/>
      </w:pPr>
      <w:rPr>
        <w:vertAlign w:val="baseline"/>
      </w:rPr>
    </w:lvl>
    <w:lvl w:ilvl="3">
      <w:start w:val="1"/>
      <w:numFmt w:val="decimal"/>
      <w:lvlText w:val="%1.%2.%3.%4."/>
      <w:lvlJc w:val="left"/>
      <w:pPr>
        <w:ind w:left="3699" w:hanging="720"/>
      </w:pPr>
      <w:rPr>
        <w:vertAlign w:val="baseline"/>
      </w:rPr>
    </w:lvl>
    <w:lvl w:ilvl="4">
      <w:start w:val="1"/>
      <w:numFmt w:val="decimal"/>
      <w:lvlText w:val="%1.%2.%3.%4.%5."/>
      <w:lvlJc w:val="left"/>
      <w:pPr>
        <w:ind w:left="5052" w:hanging="1080"/>
      </w:pPr>
      <w:rPr>
        <w:vertAlign w:val="baseline"/>
      </w:rPr>
    </w:lvl>
    <w:lvl w:ilvl="5">
      <w:start w:val="1"/>
      <w:numFmt w:val="decimal"/>
      <w:lvlText w:val="%1.%2.%3.%4.%5.%6."/>
      <w:lvlJc w:val="left"/>
      <w:pPr>
        <w:ind w:left="6045" w:hanging="1080"/>
      </w:pPr>
      <w:rPr>
        <w:vertAlign w:val="baseline"/>
      </w:rPr>
    </w:lvl>
    <w:lvl w:ilvl="6">
      <w:start w:val="1"/>
      <w:numFmt w:val="decimal"/>
      <w:lvlText w:val="%1.%2.%3.%4.%5.%6.%7."/>
      <w:lvlJc w:val="left"/>
      <w:pPr>
        <w:ind w:left="7398" w:hanging="1440"/>
      </w:pPr>
      <w:rPr>
        <w:vertAlign w:val="baseline"/>
      </w:rPr>
    </w:lvl>
    <w:lvl w:ilvl="7">
      <w:start w:val="1"/>
      <w:numFmt w:val="decimal"/>
      <w:lvlText w:val="%1.%2.%3.%4.%5.%6.%7.%8."/>
      <w:lvlJc w:val="left"/>
      <w:pPr>
        <w:ind w:left="8391" w:hanging="1440"/>
      </w:pPr>
      <w:rPr>
        <w:vertAlign w:val="baseline"/>
      </w:rPr>
    </w:lvl>
    <w:lvl w:ilvl="8">
      <w:start w:val="1"/>
      <w:numFmt w:val="decimal"/>
      <w:lvlText w:val="%1.%2.%3.%4.%5.%6.%7.%8.%9."/>
      <w:lvlJc w:val="left"/>
      <w:pPr>
        <w:ind w:left="9744" w:hanging="1800"/>
      </w:pPr>
      <w:rPr>
        <w:vertAlign w:val="baseline"/>
      </w:rPr>
    </w:lvl>
  </w:abstractNum>
  <w:abstractNum w:abstractNumId="3" w15:restartNumberingAfterBreak="0">
    <w:nsid w:val="0EC53E94"/>
    <w:multiLevelType w:val="multilevel"/>
    <w:tmpl w:val="D6AAEE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29A3715"/>
    <w:multiLevelType w:val="multilevel"/>
    <w:tmpl w:val="AADC5C4E"/>
    <w:lvl w:ilvl="0">
      <w:start w:val="2"/>
      <w:numFmt w:val="upperRoman"/>
      <w:lvlText w:val="%1."/>
      <w:lvlJc w:val="left"/>
      <w:pPr>
        <w:ind w:left="360" w:hanging="360"/>
      </w:pPr>
      <w:rPr>
        <w:smallCaps w:val="0"/>
        <w:strike w:val="0"/>
        <w:vertAlign w:val="baseline"/>
      </w:rPr>
    </w:lvl>
    <w:lvl w:ilvl="1">
      <w:start w:val="2"/>
      <w:numFmt w:val="decimal"/>
      <w:lvlText w:val="%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7"/>
      <w:numFmt w:val="decimal"/>
      <w:lvlText w:val="%3."/>
      <w:lvlJc w:val="left"/>
      <w:pPr>
        <w:ind w:left="567" w:firstLine="0"/>
      </w:pPr>
      <w:rPr>
        <w:b w:val="0"/>
        <w:i w:val="0"/>
        <w:smallCaps w:val="0"/>
        <w:strike w:val="0"/>
        <w:sz w:val="24"/>
        <w:szCs w:val="24"/>
        <w:vertAlign w:val="baseline"/>
      </w:rPr>
    </w:lvl>
    <w:lvl w:ilvl="3">
      <w:start w:val="1"/>
      <w:numFmt w:val="decimal"/>
      <w:lvlText w:val="%2.%3.%4."/>
      <w:lvlJc w:val="left"/>
      <w:pPr>
        <w:ind w:left="1641" w:hanging="648"/>
      </w:pPr>
      <w:rPr>
        <w:color w:val="000000"/>
        <w:vertAlign w:val="baseline"/>
      </w:rPr>
    </w:lvl>
    <w:lvl w:ilvl="4">
      <w:start w:val="1"/>
      <w:numFmt w:val="decimal"/>
      <w:lvlText w:val="%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6017A5D"/>
    <w:multiLevelType w:val="multilevel"/>
    <w:tmpl w:val="45CCFB44"/>
    <w:lvl w:ilvl="0">
      <w:start w:val="4"/>
      <w:numFmt w:val="upperRoman"/>
      <w:lvlText w:val="%1."/>
      <w:lvlJc w:val="left"/>
      <w:pPr>
        <w:ind w:left="360" w:hanging="360"/>
      </w:pPr>
      <w:rPr>
        <w:smallCaps w:val="0"/>
        <w:strike w:val="0"/>
        <w:vertAlign w:val="baseline"/>
      </w:rPr>
    </w:lvl>
    <w:lvl w:ilvl="1">
      <w:start w:val="12"/>
      <w:numFmt w:val="decimal"/>
      <w:lvlText w:val="%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23"/>
      <w:numFmt w:val="decimal"/>
      <w:lvlText w:val="%3."/>
      <w:lvlJc w:val="left"/>
      <w:pPr>
        <w:ind w:left="567" w:firstLine="0"/>
      </w:pPr>
      <w:rPr>
        <w:b w:val="0"/>
        <w:i w:val="0"/>
        <w:smallCaps w:val="0"/>
        <w:strike w:val="0"/>
        <w:sz w:val="24"/>
        <w:szCs w:val="24"/>
        <w:vertAlign w:val="baseline"/>
      </w:rPr>
    </w:lvl>
    <w:lvl w:ilvl="3">
      <w:start w:val="1"/>
      <w:numFmt w:val="decimal"/>
      <w:lvlText w:val="%2.%3.%4."/>
      <w:lvlJc w:val="left"/>
      <w:pPr>
        <w:ind w:left="1641" w:hanging="648"/>
      </w:pPr>
      <w:rPr>
        <w:color w:val="000000"/>
        <w:vertAlign w:val="baseline"/>
      </w:rPr>
    </w:lvl>
    <w:lvl w:ilvl="4">
      <w:start w:val="1"/>
      <w:numFmt w:val="decimal"/>
      <w:lvlText w:val="%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5ABB7CCC"/>
    <w:multiLevelType w:val="multilevel"/>
    <w:tmpl w:val="DB1C4048"/>
    <w:lvl w:ilvl="0">
      <w:start w:val="3"/>
      <w:numFmt w:val="upperRoman"/>
      <w:lvlText w:val="%1."/>
      <w:lvlJc w:val="left"/>
      <w:pPr>
        <w:ind w:left="360" w:hanging="360"/>
      </w:pPr>
      <w:rPr>
        <w:smallCaps w:val="0"/>
        <w:strike w:val="0"/>
        <w:vertAlign w:val="baseline"/>
      </w:rPr>
    </w:lvl>
    <w:lvl w:ilvl="1">
      <w:start w:val="10"/>
      <w:numFmt w:val="decimal"/>
      <w:lvlText w:val="%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0"/>
      <w:numFmt w:val="decimal"/>
      <w:lvlText w:val="%3."/>
      <w:lvlJc w:val="left"/>
      <w:pPr>
        <w:ind w:left="567" w:firstLine="0"/>
      </w:pPr>
      <w:rPr>
        <w:b w:val="0"/>
        <w:i w:val="0"/>
        <w:smallCaps w:val="0"/>
        <w:strike w:val="0"/>
        <w:sz w:val="24"/>
        <w:szCs w:val="24"/>
        <w:vertAlign w:val="baseline"/>
      </w:rPr>
    </w:lvl>
    <w:lvl w:ilvl="3">
      <w:start w:val="1"/>
      <w:numFmt w:val="decimal"/>
      <w:lvlText w:val="%2.%3.%4."/>
      <w:lvlJc w:val="left"/>
      <w:pPr>
        <w:ind w:left="1641" w:hanging="648"/>
      </w:pPr>
      <w:rPr>
        <w:color w:val="000000"/>
        <w:vertAlign w:val="baseline"/>
      </w:rPr>
    </w:lvl>
    <w:lvl w:ilvl="4">
      <w:start w:val="1"/>
      <w:numFmt w:val="decimal"/>
      <w:lvlText w:val="%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62FF2895"/>
    <w:multiLevelType w:val="multilevel"/>
    <w:tmpl w:val="51FEE97E"/>
    <w:lvl w:ilvl="0">
      <w:start w:val="1"/>
      <w:numFmt w:val="upperRoman"/>
      <w:pStyle w:val="Antrat5"/>
      <w:lvlText w:val="%1."/>
      <w:lvlJc w:val="left"/>
      <w:pPr>
        <w:ind w:left="1080" w:hanging="72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BA0C1D"/>
    <w:multiLevelType w:val="multilevel"/>
    <w:tmpl w:val="B46C0FE2"/>
    <w:lvl w:ilvl="0">
      <w:start w:val="1"/>
      <w:numFmt w:val="upperRoman"/>
      <w:lvlText w:val="%1."/>
      <w:lvlJc w:val="left"/>
      <w:pPr>
        <w:ind w:left="360" w:hanging="360"/>
      </w:pPr>
      <w:rPr>
        <w:smallCaps w:val="0"/>
        <w:strike w:val="0"/>
        <w:vertAlign w:val="baseline"/>
      </w:rPr>
    </w:lvl>
    <w:lvl w:ilvl="1">
      <w:start w:val="1"/>
      <w:numFmt w:val="decimal"/>
      <w:lvlText w:val="%2."/>
      <w:lvlJc w:val="left"/>
      <w:pPr>
        <w:ind w:left="0" w:firstLine="566"/>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3."/>
      <w:lvlJc w:val="left"/>
      <w:pPr>
        <w:ind w:left="567" w:firstLine="0"/>
      </w:pPr>
      <w:rPr>
        <w:b w:val="0"/>
        <w:i w:val="0"/>
        <w:smallCaps w:val="0"/>
        <w:strike w:val="0"/>
        <w:sz w:val="24"/>
        <w:szCs w:val="24"/>
        <w:vertAlign w:val="baseline"/>
      </w:rPr>
    </w:lvl>
    <w:lvl w:ilvl="3">
      <w:start w:val="1"/>
      <w:numFmt w:val="decimal"/>
      <w:lvlText w:val="%2.%3.%4."/>
      <w:lvlJc w:val="left"/>
      <w:pPr>
        <w:ind w:left="1641" w:hanging="648"/>
      </w:pPr>
      <w:rPr>
        <w:color w:val="000000"/>
        <w:vertAlign w:val="baseline"/>
      </w:rPr>
    </w:lvl>
    <w:lvl w:ilvl="4">
      <w:start w:val="1"/>
      <w:numFmt w:val="decimal"/>
      <w:lvlText w:val="%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76D2222E"/>
    <w:multiLevelType w:val="multilevel"/>
    <w:tmpl w:val="FA7C2EB4"/>
    <w:lvl w:ilvl="0">
      <w:start w:val="8"/>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2706" w:hanging="719"/>
      </w:pPr>
      <w:rPr>
        <w:vertAlign w:val="baseline"/>
      </w:rPr>
    </w:lvl>
    <w:lvl w:ilvl="3">
      <w:start w:val="1"/>
      <w:numFmt w:val="decimal"/>
      <w:lvlText w:val="%1.%2.%3.%4."/>
      <w:lvlJc w:val="left"/>
      <w:pPr>
        <w:ind w:left="3699" w:hanging="720"/>
      </w:pPr>
      <w:rPr>
        <w:vertAlign w:val="baseline"/>
      </w:rPr>
    </w:lvl>
    <w:lvl w:ilvl="4">
      <w:start w:val="1"/>
      <w:numFmt w:val="decimal"/>
      <w:lvlText w:val="%1.%2.%3.%4.%5."/>
      <w:lvlJc w:val="left"/>
      <w:pPr>
        <w:ind w:left="5052" w:hanging="1080"/>
      </w:pPr>
      <w:rPr>
        <w:vertAlign w:val="baseline"/>
      </w:rPr>
    </w:lvl>
    <w:lvl w:ilvl="5">
      <w:start w:val="1"/>
      <w:numFmt w:val="decimal"/>
      <w:lvlText w:val="%1.%2.%3.%4.%5.%6."/>
      <w:lvlJc w:val="left"/>
      <w:pPr>
        <w:ind w:left="6045" w:hanging="1080"/>
      </w:pPr>
      <w:rPr>
        <w:vertAlign w:val="baseline"/>
      </w:rPr>
    </w:lvl>
    <w:lvl w:ilvl="6">
      <w:start w:val="1"/>
      <w:numFmt w:val="decimal"/>
      <w:lvlText w:val="%1.%2.%3.%4.%5.%6.%7."/>
      <w:lvlJc w:val="left"/>
      <w:pPr>
        <w:ind w:left="7398" w:hanging="1440"/>
      </w:pPr>
      <w:rPr>
        <w:vertAlign w:val="baseline"/>
      </w:rPr>
    </w:lvl>
    <w:lvl w:ilvl="7">
      <w:start w:val="1"/>
      <w:numFmt w:val="decimal"/>
      <w:lvlText w:val="%1.%2.%3.%4.%5.%6.%7.%8."/>
      <w:lvlJc w:val="left"/>
      <w:pPr>
        <w:ind w:left="8391" w:hanging="1440"/>
      </w:pPr>
      <w:rPr>
        <w:vertAlign w:val="baseline"/>
      </w:rPr>
    </w:lvl>
    <w:lvl w:ilvl="8">
      <w:start w:val="1"/>
      <w:numFmt w:val="decimal"/>
      <w:lvlText w:val="%1.%2.%3.%4.%5.%6.%7.%8.%9."/>
      <w:lvlJc w:val="left"/>
      <w:pPr>
        <w:ind w:left="9744" w:hanging="1800"/>
      </w:pPr>
      <w:rPr>
        <w:vertAlign w:val="baseline"/>
      </w:rPr>
    </w:lvl>
  </w:abstractNum>
  <w:num w:numId="1">
    <w:abstractNumId w:val="8"/>
  </w:num>
  <w:num w:numId="2">
    <w:abstractNumId w:val="7"/>
  </w:num>
  <w:num w:numId="3">
    <w:abstractNumId w:val="4"/>
  </w:num>
  <w:num w:numId="4">
    <w:abstractNumId w:val="6"/>
  </w:num>
  <w:num w:numId="5">
    <w:abstractNumId w:val="5"/>
  </w:num>
  <w:num w:numId="6">
    <w:abstractNumId w:val="9"/>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0D"/>
    <w:rsid w:val="00082CB7"/>
    <w:rsid w:val="00110DFC"/>
    <w:rsid w:val="0011352A"/>
    <w:rsid w:val="002F5DC0"/>
    <w:rsid w:val="00330E1F"/>
    <w:rsid w:val="00350BC0"/>
    <w:rsid w:val="003622EC"/>
    <w:rsid w:val="004552C6"/>
    <w:rsid w:val="004C4A41"/>
    <w:rsid w:val="00511073"/>
    <w:rsid w:val="005265E7"/>
    <w:rsid w:val="005E0488"/>
    <w:rsid w:val="0065170D"/>
    <w:rsid w:val="008277B4"/>
    <w:rsid w:val="00974A8F"/>
    <w:rsid w:val="00991815"/>
    <w:rsid w:val="00A320CA"/>
    <w:rsid w:val="00AD5661"/>
    <w:rsid w:val="00BC4646"/>
    <w:rsid w:val="00C56BDF"/>
    <w:rsid w:val="00C8563D"/>
    <w:rsid w:val="00CC6587"/>
    <w:rsid w:val="00CE618D"/>
    <w:rsid w:val="00D3369A"/>
    <w:rsid w:val="00D768C4"/>
    <w:rsid w:val="00DE3E37"/>
    <w:rsid w:val="00E31CAB"/>
    <w:rsid w:val="00EB08B4"/>
    <w:rsid w:val="00F50E8E"/>
    <w:rsid w:val="00FE6065"/>
    <w:rsid w:val="00FE63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F91B"/>
  <w15:docId w15:val="{D8F2BE96-D019-47E2-A404-1A3EA200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spacing w:line="288" w:lineRule="auto"/>
      <w:ind w:leftChars="-1" w:left="-1" w:hangingChars="1" w:hanging="1"/>
      <w:jc w:val="both"/>
      <w:textDirection w:val="btLr"/>
      <w:textAlignment w:val="top"/>
      <w:outlineLvl w:val="0"/>
    </w:pPr>
    <w:rPr>
      <w:position w:val="-1"/>
      <w:sz w:val="24"/>
    </w:rPr>
  </w:style>
  <w:style w:type="paragraph" w:styleId="Antrat1">
    <w:name w:val="heading 1"/>
    <w:basedOn w:val="prastasis"/>
    <w:next w:val="prastasis"/>
    <w:pPr>
      <w:keepNext/>
      <w:keepLines/>
      <w:spacing w:before="480" w:after="120"/>
    </w:pPr>
    <w:rPr>
      <w:b/>
      <w:sz w:val="48"/>
      <w:szCs w:val="48"/>
    </w:rPr>
  </w:style>
  <w:style w:type="paragraph" w:styleId="Antrat2">
    <w:name w:val="heading 2"/>
    <w:basedOn w:val="prastasis"/>
    <w:next w:val="prastasis"/>
    <w:pPr>
      <w:keepNext/>
      <w:spacing w:before="240" w:after="60" w:line="240" w:lineRule="auto"/>
      <w:ind w:firstLine="720"/>
      <w:outlineLvl w:val="1"/>
    </w:pPr>
    <w:rPr>
      <w:rFonts w:ascii="HelveticaLT" w:hAnsi="HelveticaLT"/>
      <w:b/>
      <w:i/>
      <w:lang w:eastAsia="en-US"/>
    </w:rPr>
  </w:style>
  <w:style w:type="paragraph" w:styleId="Antrat3">
    <w:name w:val="heading 3"/>
    <w:basedOn w:val="prastasis"/>
    <w:next w:val="prastasis"/>
    <w:pPr>
      <w:keepNext/>
      <w:spacing w:before="240" w:after="60"/>
      <w:outlineLvl w:val="2"/>
    </w:pPr>
    <w:rPr>
      <w:rFonts w:ascii="Cambria" w:hAnsi="Cambria"/>
      <w:b/>
      <w:bCs/>
      <w:sz w:val="26"/>
      <w:szCs w:val="26"/>
    </w:rPr>
  </w:style>
  <w:style w:type="paragraph" w:styleId="Antrat4">
    <w:name w:val="heading 4"/>
    <w:basedOn w:val="prastasis"/>
    <w:next w:val="prastasis"/>
    <w:pPr>
      <w:keepNext/>
      <w:spacing w:line="240" w:lineRule="auto"/>
      <w:jc w:val="left"/>
      <w:outlineLvl w:val="3"/>
    </w:pPr>
    <w:rPr>
      <w:rFonts w:ascii="Arial" w:hAnsi="Arial"/>
      <w:b/>
      <w:sz w:val="20"/>
      <w:lang w:eastAsia="en-US"/>
    </w:rPr>
  </w:style>
  <w:style w:type="paragraph" w:styleId="Antrat5">
    <w:name w:val="heading 5"/>
    <w:basedOn w:val="prastasis"/>
    <w:next w:val="prastasis"/>
    <w:pPr>
      <w:keepNext/>
      <w:numPr>
        <w:numId w:val="2"/>
      </w:numPr>
      <w:ind w:left="-1" w:hanging="1"/>
      <w:jc w:val="center"/>
      <w:outlineLvl w:val="4"/>
    </w:pPr>
    <w:rPr>
      <w:b/>
      <w:bCs/>
      <w:u w:val="single"/>
    </w:rPr>
  </w:style>
  <w:style w:type="paragraph" w:styleId="Antrat6">
    <w:name w:val="heading 6"/>
    <w:basedOn w:val="prastasis"/>
    <w:next w:val="prastasis"/>
    <w:pPr>
      <w:keepNext/>
      <w:keepLines/>
      <w:spacing w:before="200" w:after="40"/>
      <w:outlineLvl w:val="5"/>
    </w:pPr>
    <w:rPr>
      <w:b/>
      <w:sz w:val="20"/>
    </w:rPr>
  </w:style>
  <w:style w:type="paragraph" w:styleId="Antrat9">
    <w:name w:val="heading 9"/>
    <w:basedOn w:val="prastasis"/>
    <w:next w:val="prastasis"/>
    <w:p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grindinistekstas">
    <w:name w:val="Body Text"/>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styleId="Pagrindiniotekstotrauka">
    <w:name w:val="Body Text Indent"/>
    <w:basedOn w:val="prastasis"/>
    <w:pPr>
      <w:spacing w:line="240" w:lineRule="auto"/>
    </w:pPr>
    <w:rPr>
      <w:lang w:eastAsia="en-US"/>
    </w:rPr>
  </w:style>
  <w:style w:type="paragraph" w:styleId="Porat">
    <w:name w:val="footer"/>
    <w:basedOn w:val="prastasis"/>
    <w:pPr>
      <w:tabs>
        <w:tab w:val="center" w:pos="4986"/>
        <w:tab w:val="right" w:pos="9972"/>
      </w:tabs>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val="en-US" w:eastAsia="en-US"/>
    </w:rPr>
  </w:style>
  <w:style w:type="paragraph" w:styleId="Pagrindiniotekstotrauka2">
    <w:name w:val="Body Text Indent 2"/>
    <w:basedOn w:val="prastasis"/>
    <w:pPr>
      <w:spacing w:after="120" w:line="480" w:lineRule="auto"/>
      <w:ind w:left="283"/>
    </w:pPr>
  </w:style>
  <w:style w:type="paragraph" w:styleId="prastasiniatinklio">
    <w:name w:val="Normal (Web)"/>
    <w:basedOn w:val="prastasis"/>
    <w:pPr>
      <w:spacing w:before="100" w:beforeAutospacing="1" w:after="100" w:afterAutospacing="1" w:line="240" w:lineRule="auto"/>
      <w:jc w:val="left"/>
    </w:pPr>
    <w:rPr>
      <w:color w:val="000000"/>
      <w:szCs w:val="24"/>
      <w:lang w:val="en-US" w:eastAsia="en-US"/>
    </w:rPr>
  </w:style>
  <w:style w:type="paragraph" w:styleId="Dokumentostruktra">
    <w:name w:val="Document Map"/>
    <w:basedOn w:val="prastasis"/>
    <w:pPr>
      <w:shd w:val="clear" w:color="auto" w:fill="000080"/>
    </w:pPr>
    <w:rPr>
      <w:rFonts w:ascii="Tahoma" w:hAnsi="Tahoma" w:cs="Tahoma"/>
      <w:sz w:val="20"/>
    </w:rPr>
  </w:style>
  <w:style w:type="character" w:customStyle="1" w:styleId="BodytextChar">
    <w:name w:val="Body text Char"/>
    <w:rPr>
      <w:rFonts w:ascii="TimesLT" w:hAnsi="TimesLT"/>
      <w:w w:val="100"/>
      <w:position w:val="-1"/>
      <w:effect w:val="none"/>
      <w:vertAlign w:val="baseline"/>
      <w:cs w:val="0"/>
      <w:em w:val="none"/>
      <w:lang w:val="en-US" w:eastAsia="en-US" w:bidi="ar-SA"/>
    </w:rPr>
  </w:style>
  <w:style w:type="character" w:customStyle="1" w:styleId="Antrat9Diagrama">
    <w:name w:val="Antraštė 9 Diagrama"/>
    <w:rPr>
      <w:rFonts w:ascii="Cambria" w:eastAsia="Times New Roman" w:hAnsi="Cambria" w:cs="Times New Roman"/>
      <w:w w:val="100"/>
      <w:position w:val="-1"/>
      <w:sz w:val="22"/>
      <w:szCs w:val="22"/>
      <w:effect w:val="none"/>
      <w:vertAlign w:val="baseline"/>
      <w:cs w:val="0"/>
      <w:em w:val="none"/>
    </w:rPr>
  </w:style>
  <w:style w:type="paragraph" w:styleId="Debesliotekstas">
    <w:name w:val="Balloon Text"/>
    <w:basedOn w:val="prastasis"/>
    <w:pPr>
      <w:spacing w:line="240" w:lineRule="auto"/>
      <w:jc w:val="left"/>
    </w:pPr>
    <w:rPr>
      <w:rFonts w:ascii="Tahoma" w:hAnsi="Tahoma" w:cs="Tahoma"/>
      <w:sz w:val="16"/>
      <w:szCs w:val="16"/>
      <w:lang w:val="en-US" w:eastAsia="en-US"/>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lang w:val="en-US" w:eastAsia="en-US"/>
    </w:rPr>
  </w:style>
  <w:style w:type="character" w:customStyle="1" w:styleId="Antrat3Diagrama">
    <w:name w:val="Antraštė 3 Diagrama"/>
    <w:rPr>
      <w:rFonts w:ascii="Cambria" w:eastAsia="Times New Roman" w:hAnsi="Cambria" w:cs="Times New Roman"/>
      <w:b/>
      <w:bCs/>
      <w:w w:val="100"/>
      <w:position w:val="-1"/>
      <w:sz w:val="26"/>
      <w:szCs w:val="26"/>
      <w:effect w:val="none"/>
      <w:vertAlign w:val="baseline"/>
      <w:cs w:val="0"/>
      <w:em w:val="none"/>
    </w:rPr>
  </w:style>
  <w:style w:type="paragraph" w:styleId="Sraopastraipa">
    <w:name w:val="List Paragraph"/>
    <w:basedOn w:val="prastasis"/>
    <w:pPr>
      <w:ind w:left="1296"/>
    </w:pPr>
  </w:style>
  <w:style w:type="paragraph" w:styleId="Antrats">
    <w:name w:val="header"/>
    <w:basedOn w:val="prastasis"/>
    <w:qFormat/>
    <w:pPr>
      <w:tabs>
        <w:tab w:val="center" w:pos="4819"/>
        <w:tab w:val="right" w:pos="9638"/>
      </w:tabs>
    </w:pPr>
  </w:style>
  <w:style w:type="character" w:customStyle="1" w:styleId="AntratsDiagrama">
    <w:name w:val="Antraštės Diagrama"/>
    <w:rPr>
      <w:w w:val="100"/>
      <w:position w:val="-1"/>
      <w:sz w:val="24"/>
      <w:effect w:val="none"/>
      <w:vertAlign w:val="baseline"/>
      <w:cs w:val="0"/>
      <w:em w:val="none"/>
    </w:rPr>
  </w:style>
  <w:style w:type="character" w:styleId="Komentaronuoroda">
    <w:name w:val="annotation reference"/>
    <w:qFormat/>
    <w:rPr>
      <w:w w:val="100"/>
      <w:position w:val="-1"/>
      <w:sz w:val="16"/>
      <w:szCs w:val="16"/>
      <w:effect w:val="none"/>
      <w:vertAlign w:val="baseline"/>
      <w:cs w:val="0"/>
      <w:em w:val="none"/>
    </w:rPr>
  </w:style>
  <w:style w:type="paragraph" w:styleId="Komentarotekstas">
    <w:name w:val="annotation text"/>
    <w:basedOn w:val="prastasis"/>
    <w:qFormat/>
    <w:pPr>
      <w:spacing w:after="160" w:line="240" w:lineRule="auto"/>
      <w:jc w:val="left"/>
    </w:pPr>
    <w:rPr>
      <w:rFonts w:ascii="Calibri" w:eastAsia="Calibri" w:hAnsi="Calibri" w:cs="Calibri"/>
      <w:sz w:val="20"/>
      <w:lang w:eastAsia="en-GB"/>
    </w:rPr>
  </w:style>
  <w:style w:type="character" w:customStyle="1" w:styleId="KomentarotekstasDiagrama">
    <w:name w:val="Komentaro tekstas Diagrama"/>
    <w:rPr>
      <w:rFonts w:ascii="Calibri" w:eastAsia="Calibri" w:hAnsi="Calibri" w:cs="Calibri"/>
      <w:w w:val="100"/>
      <w:position w:val="-1"/>
      <w:effect w:val="none"/>
      <w:vertAlign w:val="baseline"/>
      <w:cs w:val="0"/>
      <w:em w:val="none"/>
      <w:lang w:eastAsia="en-GB"/>
    </w:rPr>
  </w:style>
  <w:style w:type="paragraph" w:styleId="Komentarotema">
    <w:name w:val="annotation subject"/>
    <w:basedOn w:val="Komentarotekstas"/>
    <w:next w:val="Komentarotekstas"/>
    <w:qFormat/>
    <w:pPr>
      <w:spacing w:after="0" w:line="288" w:lineRule="auto"/>
      <w:jc w:val="both"/>
    </w:pPr>
    <w:rPr>
      <w:rFonts w:ascii="Times New Roman" w:eastAsia="Times New Roman" w:hAnsi="Times New Roman" w:cs="Times New Roman"/>
      <w:b/>
      <w:bCs/>
      <w:lang w:eastAsia="lt-LT"/>
    </w:rPr>
  </w:style>
  <w:style w:type="character" w:customStyle="1" w:styleId="KomentarotemaDiagrama">
    <w:name w:val="Komentaro tema Diagrama"/>
    <w:rPr>
      <w:rFonts w:ascii="Calibri" w:eastAsia="Calibri" w:hAnsi="Calibri" w:cs="Calibri"/>
      <w:b/>
      <w:bCs/>
      <w:w w:val="100"/>
      <w:position w:val="-1"/>
      <w:effect w:val="none"/>
      <w:vertAlign w:val="baseline"/>
      <w:cs w:val="0"/>
      <w:em w:val="none"/>
      <w:lang w:eastAsia="en-GB"/>
    </w:rPr>
  </w:style>
  <w:style w:type="character" w:customStyle="1" w:styleId="PoratDiagrama">
    <w:name w:val="Poraštė Diagrama"/>
    <w:rPr>
      <w:w w:val="100"/>
      <w:position w:val="-1"/>
      <w:sz w:val="24"/>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VeIyYmvlbVDJLVXrSZ9PDYjw==">AMUW2mVltekqtaSoWD5WkbSlASRGz7mit0H7GIy1m9fmmMqjNWdFJeoEfXSM+18rzGqQP3b9PvgQm3SJnpDEa9QMVVj0h0eAXz1pGdEmUB37dYCb/YpxEvCO0RtoaEtptuddc8BbPbtaD/SPtLjt1Z7LmHiNnN9fYbnSGT1iEoC3Xzsg2L0E5CfnzzL6ZEoMc67hJaj/Neoew9FRFFkoSRLUzZUZiWa7qO0mqFO8uWhNBAO71bvKYG8=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D52B23-32F5-4AD0-890F-293E5352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3041</Words>
  <Characters>1734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Neringa Tolstych</cp:lastModifiedBy>
  <cp:revision>3</cp:revision>
  <cp:lastPrinted>2020-10-21T08:34:00Z</cp:lastPrinted>
  <dcterms:created xsi:type="dcterms:W3CDTF">2020-10-21T11:21:00Z</dcterms:created>
  <dcterms:modified xsi:type="dcterms:W3CDTF">2020-10-21T11:26:00Z</dcterms:modified>
</cp:coreProperties>
</file>