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5168FB" w14:textId="30A6D577" w:rsidR="00445EF7" w:rsidRDefault="00AF6128" w:rsidP="0046523B">
      <w:pPr>
        <w:pBdr>
          <w:top w:val="nil"/>
          <w:left w:val="nil"/>
          <w:bottom w:val="nil"/>
          <w:right w:val="nil"/>
          <w:between w:val="nil"/>
        </w:pBdr>
        <w:spacing w:after="0" w:line="240" w:lineRule="auto"/>
        <w:ind w:left="6096"/>
        <w:rPr>
          <w:rFonts w:ascii="Times New Roman" w:hAnsi="Times New Roman" w:cs="Times New Roman"/>
          <w:color w:val="000000"/>
          <w:sz w:val="24"/>
          <w:szCs w:val="24"/>
        </w:rPr>
      </w:pPr>
      <w:r w:rsidRPr="007C7CD2">
        <w:rPr>
          <w:rFonts w:ascii="Times New Roman" w:hAnsi="Times New Roman" w:cs="Times New Roman"/>
          <w:noProof/>
          <w:color w:val="000000"/>
          <w:sz w:val="24"/>
          <w:szCs w:val="24"/>
          <w:lang w:eastAsia="lt-LT"/>
        </w:rPr>
        <w:drawing>
          <wp:anchor distT="0" distB="0" distL="114300" distR="114300" simplePos="0" relativeHeight="251659264" behindDoc="0" locked="0" layoutInCell="1" allowOverlap="1" wp14:anchorId="785BFCF9" wp14:editId="5B32EFDF">
            <wp:simplePos x="0" y="0"/>
            <wp:positionH relativeFrom="margin">
              <wp:align>center</wp:align>
            </wp:positionH>
            <wp:positionV relativeFrom="paragraph">
              <wp:posOffset>90805</wp:posOffset>
            </wp:positionV>
            <wp:extent cx="1742536" cy="577970"/>
            <wp:effectExtent l="0" t="0" r="0" b="0"/>
            <wp:wrapSquare wrapText="bothSides"/>
            <wp:docPr id="1" name="Picture 1" descr="Funne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unnel chart&#10;&#10;Description automatically generated"/>
                    <pic:cNvPicPr/>
                  </pic:nvPicPr>
                  <pic:blipFill rotWithShape="1">
                    <a:blip r:embed="rId8" cstate="print">
                      <a:extLst>
                        <a:ext uri="{28A0092B-C50C-407E-A947-70E740481C1C}">
                          <a14:useLocalDpi xmlns:a14="http://schemas.microsoft.com/office/drawing/2010/main" val="0"/>
                        </a:ext>
                      </a:extLst>
                    </a:blip>
                    <a:srcRect l="8157" t="19232" r="8055" b="20160"/>
                    <a:stretch/>
                  </pic:blipFill>
                  <pic:spPr bwMode="auto">
                    <a:xfrm>
                      <a:off x="0" y="0"/>
                      <a:ext cx="1742536" cy="577970"/>
                    </a:xfrm>
                    <a:prstGeom prst="rect">
                      <a:avLst/>
                    </a:prstGeom>
                    <a:ln>
                      <a:noFill/>
                    </a:ln>
                    <a:extLst>
                      <a:ext uri="{53640926-AAD7-44D8-BBD7-CCE9431645EC}">
                        <a14:shadowObscured xmlns:a14="http://schemas.microsoft.com/office/drawing/2010/main"/>
                      </a:ext>
                    </a:extLst>
                  </pic:spPr>
                </pic:pic>
              </a:graphicData>
            </a:graphic>
          </wp:anchor>
        </w:drawing>
      </w:r>
    </w:p>
    <w:p w14:paraId="0B57F434" w14:textId="48401B53" w:rsidR="00AF6128" w:rsidRDefault="00AF6128" w:rsidP="0046523B">
      <w:pPr>
        <w:pBdr>
          <w:top w:val="nil"/>
          <w:left w:val="nil"/>
          <w:bottom w:val="nil"/>
          <w:right w:val="nil"/>
          <w:between w:val="nil"/>
        </w:pBdr>
        <w:spacing w:after="0" w:line="240" w:lineRule="auto"/>
        <w:ind w:left="6096"/>
        <w:rPr>
          <w:rFonts w:ascii="Times New Roman" w:hAnsi="Times New Roman" w:cs="Times New Roman"/>
          <w:color w:val="000000"/>
          <w:sz w:val="24"/>
          <w:szCs w:val="24"/>
        </w:rPr>
      </w:pPr>
    </w:p>
    <w:p w14:paraId="5E650DFA" w14:textId="65D60CF4" w:rsidR="00AF6128" w:rsidRDefault="00AF6128" w:rsidP="0046523B">
      <w:pPr>
        <w:pBdr>
          <w:top w:val="nil"/>
          <w:left w:val="nil"/>
          <w:bottom w:val="nil"/>
          <w:right w:val="nil"/>
          <w:between w:val="nil"/>
        </w:pBdr>
        <w:spacing w:after="0" w:line="240" w:lineRule="auto"/>
        <w:ind w:left="6096"/>
        <w:rPr>
          <w:rFonts w:ascii="Times New Roman" w:hAnsi="Times New Roman" w:cs="Times New Roman"/>
          <w:color w:val="000000"/>
          <w:sz w:val="24"/>
          <w:szCs w:val="24"/>
        </w:rPr>
      </w:pPr>
    </w:p>
    <w:p w14:paraId="5FBBE460" w14:textId="77777777" w:rsidR="00AF6128" w:rsidRPr="0042178F" w:rsidRDefault="00AF6128" w:rsidP="0046523B">
      <w:pPr>
        <w:pBdr>
          <w:top w:val="nil"/>
          <w:left w:val="nil"/>
          <w:bottom w:val="nil"/>
          <w:right w:val="nil"/>
          <w:between w:val="nil"/>
        </w:pBdr>
        <w:spacing w:after="0" w:line="240" w:lineRule="auto"/>
        <w:ind w:left="6096"/>
        <w:rPr>
          <w:rFonts w:ascii="Times New Roman" w:hAnsi="Times New Roman" w:cs="Times New Roman"/>
          <w:color w:val="000000"/>
          <w:sz w:val="24"/>
          <w:szCs w:val="24"/>
        </w:rPr>
      </w:pPr>
    </w:p>
    <w:p w14:paraId="43356D1B" w14:textId="77777777" w:rsidR="00064528" w:rsidRPr="008F5876" w:rsidRDefault="00064528" w:rsidP="0046523B">
      <w:pPr>
        <w:spacing w:after="0" w:line="240" w:lineRule="auto"/>
        <w:rPr>
          <w:rFonts w:ascii="Times New Roman" w:hAnsi="Times New Roman" w:cs="Times New Roman"/>
          <w:color w:val="000000"/>
          <w:sz w:val="24"/>
          <w:szCs w:val="24"/>
        </w:rPr>
      </w:pPr>
    </w:p>
    <w:p w14:paraId="73A76B77" w14:textId="77777777" w:rsidR="00E15460" w:rsidRPr="00937C19" w:rsidRDefault="00E15460" w:rsidP="0046523B">
      <w:pPr>
        <w:spacing w:after="0" w:line="240" w:lineRule="auto"/>
        <w:jc w:val="center"/>
        <w:rPr>
          <w:rFonts w:ascii="Times New Roman" w:hAnsi="Times New Roman" w:cs="Times New Roman"/>
          <w:b/>
          <w:sz w:val="24"/>
          <w:szCs w:val="24"/>
        </w:rPr>
      </w:pPr>
      <w:r w:rsidRPr="00937C19">
        <w:rPr>
          <w:rFonts w:ascii="Times New Roman" w:hAnsi="Times New Roman" w:cs="Times New Roman"/>
          <w:b/>
          <w:color w:val="000000"/>
          <w:sz w:val="24"/>
          <w:szCs w:val="24"/>
        </w:rPr>
        <w:t>NEFORMALIOJO PROFESINIO MOKYMO PROGRAMA</w:t>
      </w:r>
    </w:p>
    <w:p w14:paraId="78D29915" w14:textId="77777777" w:rsidR="00E15460" w:rsidRPr="00937C19" w:rsidRDefault="00E15460" w:rsidP="0046523B">
      <w:pPr>
        <w:spacing w:after="0" w:line="240" w:lineRule="auto"/>
        <w:rPr>
          <w:rFonts w:ascii="Times New Roman" w:hAnsi="Times New Roman" w:cs="Times New Roman"/>
          <w:color w:val="000000"/>
          <w:sz w:val="24"/>
          <w:szCs w:val="24"/>
        </w:rPr>
      </w:pPr>
    </w:p>
    <w:p w14:paraId="4247A75A" w14:textId="77777777" w:rsidR="00526D12" w:rsidRPr="00937C19" w:rsidRDefault="00D644AA" w:rsidP="0046523B">
      <w:pPr>
        <w:spacing w:after="0" w:line="240" w:lineRule="auto"/>
        <w:jc w:val="center"/>
        <w:rPr>
          <w:rFonts w:ascii="Times New Roman" w:hAnsi="Times New Roman" w:cs="Times New Roman"/>
          <w:b/>
          <w:color w:val="000000"/>
          <w:sz w:val="24"/>
          <w:szCs w:val="24"/>
        </w:rPr>
      </w:pPr>
      <w:r w:rsidRPr="00937C19">
        <w:rPr>
          <w:rFonts w:ascii="Times New Roman" w:hAnsi="Times New Roman" w:cs="Times New Roman"/>
          <w:b/>
          <w:color w:val="000000"/>
          <w:sz w:val="24"/>
          <w:szCs w:val="24"/>
        </w:rPr>
        <w:t>1. PROGRAMOS APIBŪDINIMAS</w:t>
      </w:r>
    </w:p>
    <w:p w14:paraId="51EBF0C0" w14:textId="77777777" w:rsidR="00D644AA" w:rsidRPr="008F5876" w:rsidRDefault="00D644AA" w:rsidP="0046523B">
      <w:pPr>
        <w:spacing w:after="0" w:line="240" w:lineRule="auto"/>
        <w:rPr>
          <w:rFonts w:ascii="Times New Roman" w:hAnsi="Times New Roman" w:cs="Times New Roman"/>
          <w:color w:val="000000"/>
          <w:sz w:val="24"/>
          <w:szCs w:val="24"/>
        </w:rPr>
      </w:pPr>
    </w:p>
    <w:p w14:paraId="637FD369" w14:textId="77777777" w:rsidR="00526D12" w:rsidRPr="00937C19" w:rsidRDefault="00526D12" w:rsidP="0046523B">
      <w:pPr>
        <w:spacing w:after="0" w:line="240" w:lineRule="auto"/>
        <w:rPr>
          <w:rFonts w:ascii="Times New Roman" w:hAnsi="Times New Roman" w:cs="Times New Roman"/>
          <w:color w:val="000000"/>
          <w:sz w:val="24"/>
          <w:szCs w:val="24"/>
        </w:rPr>
      </w:pPr>
      <w:r w:rsidRPr="00937C19">
        <w:rPr>
          <w:rFonts w:ascii="Times New Roman" w:hAnsi="Times New Roman" w:cs="Times New Roman"/>
          <w:color w:val="000000"/>
          <w:sz w:val="24"/>
          <w:szCs w:val="24"/>
        </w:rPr>
        <w:t>1.1. Programos pavadinimas lietuvių kalba</w:t>
      </w:r>
    </w:p>
    <w:tbl>
      <w:tblPr>
        <w:tblStyle w:val="TableGrid"/>
        <w:tblW w:w="0" w:type="auto"/>
        <w:tblLook w:val="04A0" w:firstRow="1" w:lastRow="0" w:firstColumn="1" w:lastColumn="0" w:noHBand="0" w:noVBand="1"/>
      </w:tblPr>
      <w:tblGrid>
        <w:gridCol w:w="9628"/>
      </w:tblGrid>
      <w:tr w:rsidR="00526D12" w:rsidRPr="00937C19" w14:paraId="1E211DDC" w14:textId="77777777" w:rsidTr="00526D12">
        <w:tc>
          <w:tcPr>
            <w:tcW w:w="9628" w:type="dxa"/>
          </w:tcPr>
          <w:p w14:paraId="39DE3EEF" w14:textId="43206FE9" w:rsidR="00526D12" w:rsidRPr="00937C19" w:rsidRDefault="00737311" w:rsidP="0046523B">
            <w:pPr>
              <w:rPr>
                <w:rFonts w:ascii="Times New Roman" w:hAnsi="Times New Roman" w:cs="Times New Roman"/>
                <w:color w:val="000000"/>
                <w:sz w:val="24"/>
                <w:szCs w:val="24"/>
              </w:rPr>
            </w:pPr>
            <w:r w:rsidRPr="00737311">
              <w:rPr>
                <w:rFonts w:ascii="Times New Roman" w:hAnsi="Times New Roman" w:cs="Times New Roman"/>
                <w:color w:val="000000"/>
                <w:sz w:val="24"/>
                <w:szCs w:val="24"/>
              </w:rPr>
              <w:t>Asmeninių finansų valdymo neformaliojo profesinio mokymo programa</w:t>
            </w:r>
          </w:p>
        </w:tc>
      </w:tr>
    </w:tbl>
    <w:p w14:paraId="77833BE3" w14:textId="77777777" w:rsidR="00526D12" w:rsidRPr="00937C19" w:rsidRDefault="00526D12" w:rsidP="0046523B">
      <w:pPr>
        <w:spacing w:after="0" w:line="240" w:lineRule="auto"/>
        <w:rPr>
          <w:rFonts w:ascii="Times New Roman" w:hAnsi="Times New Roman" w:cs="Times New Roman"/>
          <w:color w:val="000000"/>
          <w:sz w:val="24"/>
          <w:szCs w:val="24"/>
        </w:rPr>
      </w:pPr>
    </w:p>
    <w:p w14:paraId="009D71CC" w14:textId="77777777" w:rsidR="00526D12" w:rsidRPr="00982004" w:rsidRDefault="00526D12" w:rsidP="0046523B">
      <w:pPr>
        <w:spacing w:after="0" w:line="240" w:lineRule="auto"/>
        <w:rPr>
          <w:rFonts w:ascii="Times New Roman" w:hAnsi="Times New Roman" w:cs="Times New Roman"/>
          <w:i/>
          <w:color w:val="000000"/>
          <w:sz w:val="24"/>
          <w:szCs w:val="24"/>
        </w:rPr>
      </w:pPr>
      <w:r w:rsidRPr="00937C19">
        <w:rPr>
          <w:rFonts w:ascii="Times New Roman" w:hAnsi="Times New Roman" w:cs="Times New Roman"/>
          <w:color w:val="000000"/>
          <w:sz w:val="24"/>
          <w:szCs w:val="24"/>
        </w:rPr>
        <w:t>1.</w:t>
      </w:r>
      <w:r w:rsidR="00D644AA" w:rsidRPr="00937C19">
        <w:rPr>
          <w:rFonts w:ascii="Times New Roman" w:hAnsi="Times New Roman" w:cs="Times New Roman"/>
          <w:color w:val="000000"/>
          <w:sz w:val="24"/>
          <w:szCs w:val="24"/>
        </w:rPr>
        <w:t>2</w:t>
      </w:r>
      <w:r w:rsidRPr="00937C19">
        <w:rPr>
          <w:rFonts w:ascii="Times New Roman" w:hAnsi="Times New Roman" w:cs="Times New Roman"/>
          <w:color w:val="000000"/>
          <w:sz w:val="24"/>
          <w:szCs w:val="24"/>
        </w:rPr>
        <w:t>. Programos valstybinis kodas</w:t>
      </w:r>
      <w:r w:rsidR="00982004">
        <w:rPr>
          <w:rFonts w:ascii="Times New Roman" w:hAnsi="Times New Roman" w:cs="Times New Roman"/>
          <w:color w:val="000000"/>
          <w:sz w:val="24"/>
          <w:szCs w:val="24"/>
        </w:rPr>
        <w:t xml:space="preserve"> </w:t>
      </w:r>
      <w:r w:rsidR="00982004">
        <w:rPr>
          <w:rFonts w:ascii="Times New Roman" w:hAnsi="Times New Roman" w:cs="Times New Roman"/>
          <w:i/>
          <w:color w:val="000000"/>
          <w:sz w:val="24"/>
          <w:szCs w:val="24"/>
        </w:rPr>
        <w:t>(suteikiamas įregistravus programą)</w:t>
      </w:r>
    </w:p>
    <w:tbl>
      <w:tblPr>
        <w:tblStyle w:val="TableGrid"/>
        <w:tblW w:w="0" w:type="auto"/>
        <w:tblLook w:val="04A0" w:firstRow="1" w:lastRow="0" w:firstColumn="1" w:lastColumn="0" w:noHBand="0" w:noVBand="1"/>
      </w:tblPr>
      <w:tblGrid>
        <w:gridCol w:w="9628"/>
      </w:tblGrid>
      <w:tr w:rsidR="00526D12" w:rsidRPr="00937C19" w14:paraId="6E94059C" w14:textId="77777777" w:rsidTr="00526D12">
        <w:tc>
          <w:tcPr>
            <w:tcW w:w="9628" w:type="dxa"/>
          </w:tcPr>
          <w:p w14:paraId="33235C2D" w14:textId="4A4D097A" w:rsidR="00526D12" w:rsidRPr="00937C19" w:rsidRDefault="00B15E8A" w:rsidP="0046523B">
            <w:pPr>
              <w:rPr>
                <w:rFonts w:ascii="Times New Roman" w:hAnsi="Times New Roman" w:cs="Times New Roman"/>
                <w:color w:val="000000"/>
                <w:sz w:val="24"/>
                <w:szCs w:val="24"/>
              </w:rPr>
            </w:pPr>
            <w:bookmarkStart w:id="0" w:name="_GoBack"/>
            <w:r w:rsidRPr="00B15E8A">
              <w:rPr>
                <w:rFonts w:ascii="Times New Roman" w:hAnsi="Times New Roman" w:cs="Times New Roman"/>
                <w:color w:val="000000"/>
                <w:sz w:val="24"/>
                <w:szCs w:val="24"/>
              </w:rPr>
              <w:t>N43041202</w:t>
            </w:r>
            <w:bookmarkEnd w:id="0"/>
          </w:p>
        </w:tc>
      </w:tr>
    </w:tbl>
    <w:p w14:paraId="3FA82027" w14:textId="77777777" w:rsidR="00526D12" w:rsidRPr="00937C19" w:rsidRDefault="00526D12" w:rsidP="0046523B">
      <w:pPr>
        <w:spacing w:after="0" w:line="240" w:lineRule="auto"/>
        <w:rPr>
          <w:rFonts w:ascii="Times New Roman" w:hAnsi="Times New Roman" w:cs="Times New Roman"/>
          <w:color w:val="000000"/>
          <w:sz w:val="24"/>
          <w:szCs w:val="24"/>
        </w:rPr>
      </w:pPr>
    </w:p>
    <w:p w14:paraId="2FE65EBF" w14:textId="77777777" w:rsidR="00526D12" w:rsidRPr="00937C19" w:rsidRDefault="00526D12" w:rsidP="0046523B">
      <w:pPr>
        <w:spacing w:after="0" w:line="240" w:lineRule="auto"/>
        <w:rPr>
          <w:rFonts w:ascii="Times New Roman" w:hAnsi="Times New Roman" w:cs="Times New Roman"/>
          <w:color w:val="000000"/>
          <w:sz w:val="24"/>
          <w:szCs w:val="24"/>
        </w:rPr>
      </w:pPr>
      <w:r w:rsidRPr="00937C19">
        <w:rPr>
          <w:rFonts w:ascii="Times New Roman" w:hAnsi="Times New Roman" w:cs="Times New Roman"/>
          <w:color w:val="000000"/>
          <w:sz w:val="24"/>
          <w:szCs w:val="24"/>
        </w:rPr>
        <w:t>1.</w:t>
      </w:r>
      <w:r w:rsidR="00D644AA" w:rsidRPr="00937C19">
        <w:rPr>
          <w:rFonts w:ascii="Times New Roman" w:hAnsi="Times New Roman" w:cs="Times New Roman"/>
          <w:color w:val="000000"/>
          <w:sz w:val="24"/>
          <w:szCs w:val="24"/>
        </w:rPr>
        <w:t>3</w:t>
      </w:r>
      <w:r w:rsidRPr="00937C19">
        <w:rPr>
          <w:rFonts w:ascii="Times New Roman" w:hAnsi="Times New Roman" w:cs="Times New Roman"/>
          <w:color w:val="000000"/>
          <w:sz w:val="24"/>
          <w:szCs w:val="24"/>
        </w:rPr>
        <w:t>. Švietimo sritis</w:t>
      </w:r>
    </w:p>
    <w:tbl>
      <w:tblPr>
        <w:tblStyle w:val="TableGrid"/>
        <w:tblW w:w="0" w:type="auto"/>
        <w:tblLook w:val="04A0" w:firstRow="1" w:lastRow="0" w:firstColumn="1" w:lastColumn="0" w:noHBand="0" w:noVBand="1"/>
      </w:tblPr>
      <w:tblGrid>
        <w:gridCol w:w="9628"/>
      </w:tblGrid>
      <w:tr w:rsidR="00526D12" w:rsidRPr="00937C19" w14:paraId="7076BBDB" w14:textId="77777777" w:rsidTr="00526D12">
        <w:tc>
          <w:tcPr>
            <w:tcW w:w="9628" w:type="dxa"/>
          </w:tcPr>
          <w:p w14:paraId="33CD926A" w14:textId="0CC6CDFF" w:rsidR="00526D12" w:rsidRPr="00937C19" w:rsidRDefault="00737311" w:rsidP="0046523B">
            <w:pPr>
              <w:rPr>
                <w:rFonts w:ascii="Times New Roman" w:hAnsi="Times New Roman" w:cs="Times New Roman"/>
                <w:color w:val="000000"/>
                <w:sz w:val="24"/>
                <w:szCs w:val="24"/>
              </w:rPr>
            </w:pPr>
            <w:r w:rsidRPr="00737311">
              <w:rPr>
                <w:rFonts w:ascii="Times New Roman" w:hAnsi="Times New Roman" w:cs="Times New Roman"/>
                <w:color w:val="000000"/>
                <w:sz w:val="24"/>
                <w:szCs w:val="24"/>
              </w:rPr>
              <w:t>Verslas ir administravimas</w:t>
            </w:r>
          </w:p>
        </w:tc>
      </w:tr>
    </w:tbl>
    <w:p w14:paraId="1611A81D" w14:textId="77777777" w:rsidR="00526D12" w:rsidRPr="00937C19" w:rsidRDefault="00526D12" w:rsidP="0046523B">
      <w:pPr>
        <w:spacing w:after="0" w:line="240" w:lineRule="auto"/>
        <w:rPr>
          <w:rFonts w:ascii="Times New Roman" w:hAnsi="Times New Roman" w:cs="Times New Roman"/>
          <w:color w:val="000000"/>
          <w:sz w:val="24"/>
          <w:szCs w:val="24"/>
        </w:rPr>
      </w:pPr>
    </w:p>
    <w:p w14:paraId="3E6B1536" w14:textId="77777777" w:rsidR="00526D12" w:rsidRPr="00937C19" w:rsidRDefault="00526D12" w:rsidP="0046523B">
      <w:pPr>
        <w:spacing w:after="0" w:line="240" w:lineRule="auto"/>
        <w:rPr>
          <w:rFonts w:ascii="Times New Roman" w:hAnsi="Times New Roman" w:cs="Times New Roman"/>
          <w:color w:val="000000"/>
          <w:sz w:val="24"/>
          <w:szCs w:val="24"/>
        </w:rPr>
      </w:pPr>
      <w:r w:rsidRPr="00937C19">
        <w:rPr>
          <w:rFonts w:ascii="Times New Roman" w:hAnsi="Times New Roman" w:cs="Times New Roman"/>
          <w:color w:val="000000"/>
          <w:sz w:val="24"/>
          <w:szCs w:val="24"/>
        </w:rPr>
        <w:t>1.</w:t>
      </w:r>
      <w:r w:rsidR="00982004">
        <w:rPr>
          <w:rFonts w:ascii="Times New Roman" w:hAnsi="Times New Roman" w:cs="Times New Roman"/>
          <w:color w:val="000000"/>
          <w:sz w:val="24"/>
          <w:szCs w:val="24"/>
        </w:rPr>
        <w:t>4</w:t>
      </w:r>
      <w:r w:rsidRPr="00937C19">
        <w:rPr>
          <w:rFonts w:ascii="Times New Roman" w:hAnsi="Times New Roman" w:cs="Times New Roman"/>
          <w:color w:val="000000"/>
          <w:sz w:val="24"/>
          <w:szCs w:val="24"/>
        </w:rPr>
        <w:t xml:space="preserve">. </w:t>
      </w:r>
      <w:r w:rsidR="00E1724C" w:rsidRPr="00937C19">
        <w:rPr>
          <w:rFonts w:ascii="Times New Roman" w:hAnsi="Times New Roman" w:cs="Times New Roman"/>
          <w:color w:val="000000"/>
          <w:sz w:val="24"/>
          <w:szCs w:val="24"/>
        </w:rPr>
        <w:t>Š</w:t>
      </w:r>
      <w:r w:rsidRPr="00937C19">
        <w:rPr>
          <w:rFonts w:ascii="Times New Roman" w:hAnsi="Times New Roman" w:cs="Times New Roman"/>
          <w:color w:val="000000"/>
          <w:sz w:val="24"/>
          <w:szCs w:val="24"/>
        </w:rPr>
        <w:t>vietimo posritis / posričiai</w:t>
      </w:r>
    </w:p>
    <w:tbl>
      <w:tblPr>
        <w:tblStyle w:val="TableGrid"/>
        <w:tblW w:w="0" w:type="auto"/>
        <w:tblLook w:val="04A0" w:firstRow="1" w:lastRow="0" w:firstColumn="1" w:lastColumn="0" w:noHBand="0" w:noVBand="1"/>
      </w:tblPr>
      <w:tblGrid>
        <w:gridCol w:w="9628"/>
      </w:tblGrid>
      <w:tr w:rsidR="00526D12" w:rsidRPr="00937C19" w14:paraId="4751187B" w14:textId="77777777" w:rsidTr="00526D12">
        <w:tc>
          <w:tcPr>
            <w:tcW w:w="9628" w:type="dxa"/>
          </w:tcPr>
          <w:p w14:paraId="2D1986B2" w14:textId="56E13D15" w:rsidR="00526D12" w:rsidRPr="00937C19" w:rsidRDefault="00737311" w:rsidP="0046523B">
            <w:pPr>
              <w:rPr>
                <w:rFonts w:ascii="Times New Roman" w:hAnsi="Times New Roman" w:cs="Times New Roman"/>
                <w:color w:val="000000"/>
                <w:sz w:val="24"/>
                <w:szCs w:val="24"/>
              </w:rPr>
            </w:pPr>
            <w:r w:rsidRPr="00737311">
              <w:rPr>
                <w:rFonts w:ascii="Times New Roman" w:hAnsi="Times New Roman" w:cs="Times New Roman"/>
                <w:color w:val="000000"/>
                <w:sz w:val="24"/>
                <w:szCs w:val="24"/>
              </w:rPr>
              <w:t>Finansai, bankininkystė ir draudimas</w:t>
            </w:r>
          </w:p>
        </w:tc>
      </w:tr>
    </w:tbl>
    <w:p w14:paraId="0D24FAE8" w14:textId="77777777" w:rsidR="00526D12" w:rsidRPr="00937C19" w:rsidRDefault="00526D12" w:rsidP="0046523B">
      <w:pPr>
        <w:spacing w:after="0" w:line="240" w:lineRule="auto"/>
        <w:rPr>
          <w:rFonts w:ascii="Times New Roman" w:hAnsi="Times New Roman" w:cs="Times New Roman"/>
          <w:color w:val="000000"/>
          <w:sz w:val="24"/>
          <w:szCs w:val="24"/>
        </w:rPr>
      </w:pPr>
    </w:p>
    <w:p w14:paraId="5EBA500D" w14:textId="77777777" w:rsidR="00E1724C" w:rsidRPr="00937C19" w:rsidRDefault="00E1724C" w:rsidP="0046523B">
      <w:pPr>
        <w:spacing w:after="0" w:line="240" w:lineRule="auto"/>
        <w:rPr>
          <w:rFonts w:ascii="Times New Roman" w:hAnsi="Times New Roman" w:cs="Times New Roman"/>
          <w:color w:val="000000"/>
          <w:sz w:val="24"/>
          <w:szCs w:val="24"/>
        </w:rPr>
      </w:pPr>
      <w:r w:rsidRPr="00937C19">
        <w:rPr>
          <w:rFonts w:ascii="Times New Roman" w:hAnsi="Times New Roman" w:cs="Times New Roman"/>
          <w:color w:val="000000"/>
          <w:sz w:val="24"/>
          <w:szCs w:val="24"/>
        </w:rPr>
        <w:t>1.</w:t>
      </w:r>
      <w:r w:rsidR="00982004">
        <w:rPr>
          <w:rFonts w:ascii="Times New Roman" w:hAnsi="Times New Roman" w:cs="Times New Roman"/>
          <w:color w:val="000000"/>
          <w:sz w:val="24"/>
          <w:szCs w:val="24"/>
        </w:rPr>
        <w:t>5</w:t>
      </w:r>
      <w:r w:rsidRPr="00937C19">
        <w:rPr>
          <w:rFonts w:ascii="Times New Roman" w:hAnsi="Times New Roman" w:cs="Times New Roman"/>
          <w:color w:val="000000"/>
          <w:sz w:val="24"/>
          <w:szCs w:val="24"/>
        </w:rPr>
        <w:t>. Programos apimtis mokymosi kreditais</w:t>
      </w:r>
    </w:p>
    <w:tbl>
      <w:tblPr>
        <w:tblStyle w:val="TableGrid"/>
        <w:tblW w:w="0" w:type="auto"/>
        <w:tblLook w:val="04A0" w:firstRow="1" w:lastRow="0" w:firstColumn="1" w:lastColumn="0" w:noHBand="0" w:noVBand="1"/>
      </w:tblPr>
      <w:tblGrid>
        <w:gridCol w:w="9628"/>
      </w:tblGrid>
      <w:tr w:rsidR="00E1724C" w:rsidRPr="00937C19" w14:paraId="3F656F03" w14:textId="77777777" w:rsidTr="00E1724C">
        <w:tc>
          <w:tcPr>
            <w:tcW w:w="9628" w:type="dxa"/>
          </w:tcPr>
          <w:p w14:paraId="2C9DDE49" w14:textId="7D5584C3" w:rsidR="00E1724C" w:rsidRPr="00937C19" w:rsidRDefault="004D154D" w:rsidP="0046523B">
            <w:pPr>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005C6306">
              <w:rPr>
                <w:rFonts w:ascii="Times New Roman" w:hAnsi="Times New Roman" w:cs="Times New Roman"/>
                <w:color w:val="000000"/>
                <w:sz w:val="24"/>
                <w:szCs w:val="24"/>
              </w:rPr>
              <w:t>kreditai</w:t>
            </w:r>
          </w:p>
        </w:tc>
      </w:tr>
    </w:tbl>
    <w:p w14:paraId="31608D6C" w14:textId="77777777" w:rsidR="00E1724C" w:rsidRPr="00937C19" w:rsidRDefault="00E1724C" w:rsidP="0046523B">
      <w:pPr>
        <w:spacing w:after="0" w:line="240" w:lineRule="auto"/>
        <w:rPr>
          <w:rFonts w:ascii="Times New Roman" w:hAnsi="Times New Roman" w:cs="Times New Roman"/>
          <w:color w:val="000000"/>
          <w:sz w:val="24"/>
          <w:szCs w:val="24"/>
        </w:rPr>
      </w:pPr>
    </w:p>
    <w:p w14:paraId="601E3F13" w14:textId="77777777" w:rsidR="00D46745" w:rsidRPr="00937C19" w:rsidRDefault="00D46745" w:rsidP="0046523B">
      <w:pPr>
        <w:spacing w:after="0" w:line="240" w:lineRule="auto"/>
        <w:rPr>
          <w:rFonts w:ascii="Times New Roman" w:hAnsi="Times New Roman" w:cs="Times New Roman"/>
          <w:color w:val="000000"/>
          <w:sz w:val="24"/>
          <w:szCs w:val="24"/>
        </w:rPr>
      </w:pPr>
      <w:r w:rsidRPr="00937C19">
        <w:rPr>
          <w:rFonts w:ascii="Times New Roman" w:hAnsi="Times New Roman" w:cs="Times New Roman"/>
          <w:color w:val="000000"/>
          <w:sz w:val="24"/>
          <w:szCs w:val="24"/>
        </w:rPr>
        <w:t>1.</w:t>
      </w:r>
      <w:r w:rsidR="00982004">
        <w:rPr>
          <w:rFonts w:ascii="Times New Roman" w:hAnsi="Times New Roman" w:cs="Times New Roman"/>
          <w:color w:val="000000"/>
          <w:sz w:val="24"/>
          <w:szCs w:val="24"/>
        </w:rPr>
        <w:t>6</w:t>
      </w:r>
      <w:r w:rsidRPr="00937C19">
        <w:rPr>
          <w:rFonts w:ascii="Times New Roman" w:hAnsi="Times New Roman" w:cs="Times New Roman"/>
          <w:color w:val="000000"/>
          <w:sz w:val="24"/>
          <w:szCs w:val="24"/>
        </w:rPr>
        <w:t>. Programos apimtis akademinėmis valandomis kontaktiniam darbui, jų pasiskirstymas teoriniam ir praktiniam mokymui</w:t>
      </w:r>
    </w:p>
    <w:tbl>
      <w:tblPr>
        <w:tblStyle w:val="TableGrid"/>
        <w:tblW w:w="0" w:type="auto"/>
        <w:tblLook w:val="04A0" w:firstRow="1" w:lastRow="0" w:firstColumn="1" w:lastColumn="0" w:noHBand="0" w:noVBand="1"/>
      </w:tblPr>
      <w:tblGrid>
        <w:gridCol w:w="9628"/>
      </w:tblGrid>
      <w:tr w:rsidR="00D46745" w:rsidRPr="00937C19" w14:paraId="148AE92B" w14:textId="77777777" w:rsidTr="00D46745">
        <w:tc>
          <w:tcPr>
            <w:tcW w:w="9628" w:type="dxa"/>
          </w:tcPr>
          <w:p w14:paraId="0366A9C0" w14:textId="2CF468E3" w:rsidR="00D46745" w:rsidRPr="00937C19" w:rsidRDefault="004D154D" w:rsidP="0046523B">
            <w:pPr>
              <w:jc w:val="both"/>
              <w:rPr>
                <w:rFonts w:ascii="Times New Roman" w:hAnsi="Times New Roman" w:cs="Times New Roman"/>
                <w:color w:val="000000"/>
                <w:sz w:val="24"/>
                <w:szCs w:val="24"/>
              </w:rPr>
            </w:pPr>
            <w:r w:rsidRPr="004D154D">
              <w:rPr>
                <w:rFonts w:ascii="Times New Roman" w:hAnsi="Times New Roman" w:cs="Times New Roman"/>
                <w:color w:val="000000"/>
                <w:sz w:val="24"/>
                <w:szCs w:val="24"/>
              </w:rPr>
              <w:t>90 akademinių valandų kontaktiniam darbui, iš kurių 27 akademinės valandos skiriamos teoriniam mokymui, 63 akademinės valandos – praktiniam mokymui.</w:t>
            </w:r>
          </w:p>
        </w:tc>
      </w:tr>
    </w:tbl>
    <w:p w14:paraId="301FD5DD" w14:textId="77777777" w:rsidR="00D46745" w:rsidRPr="00937C19" w:rsidRDefault="00D46745" w:rsidP="0046523B">
      <w:pPr>
        <w:spacing w:after="0" w:line="240" w:lineRule="auto"/>
        <w:rPr>
          <w:rFonts w:ascii="Times New Roman" w:hAnsi="Times New Roman" w:cs="Times New Roman"/>
          <w:color w:val="000000"/>
          <w:sz w:val="24"/>
          <w:szCs w:val="24"/>
        </w:rPr>
      </w:pPr>
    </w:p>
    <w:p w14:paraId="505C3E73" w14:textId="77777777" w:rsidR="00526D12" w:rsidRPr="00937C19" w:rsidRDefault="00D46745" w:rsidP="0046523B">
      <w:pPr>
        <w:spacing w:after="0" w:line="240" w:lineRule="auto"/>
        <w:rPr>
          <w:rFonts w:ascii="Times New Roman" w:hAnsi="Times New Roman" w:cs="Times New Roman"/>
          <w:color w:val="000000"/>
          <w:sz w:val="24"/>
          <w:szCs w:val="24"/>
        </w:rPr>
      </w:pPr>
      <w:r w:rsidRPr="00937C19">
        <w:rPr>
          <w:rFonts w:ascii="Times New Roman" w:hAnsi="Times New Roman" w:cs="Times New Roman"/>
          <w:color w:val="000000"/>
          <w:sz w:val="24"/>
          <w:szCs w:val="24"/>
        </w:rPr>
        <w:t>1.</w:t>
      </w:r>
      <w:r w:rsidR="00982004">
        <w:rPr>
          <w:rFonts w:ascii="Times New Roman" w:hAnsi="Times New Roman" w:cs="Times New Roman"/>
          <w:color w:val="000000"/>
          <w:sz w:val="24"/>
          <w:szCs w:val="24"/>
        </w:rPr>
        <w:t>7</w:t>
      </w:r>
      <w:r w:rsidRPr="00937C19">
        <w:rPr>
          <w:rFonts w:ascii="Times New Roman" w:hAnsi="Times New Roman" w:cs="Times New Roman"/>
          <w:color w:val="000000"/>
          <w:sz w:val="24"/>
          <w:szCs w:val="24"/>
        </w:rPr>
        <w:t>. Minimalūs reikalavimai, norint mokytis pagal programą (jeigu nu</w:t>
      </w:r>
      <w:r w:rsidR="00D644AA" w:rsidRPr="00937C19">
        <w:rPr>
          <w:rFonts w:ascii="Times New Roman" w:hAnsi="Times New Roman" w:cs="Times New Roman"/>
          <w:color w:val="000000"/>
          <w:sz w:val="24"/>
          <w:szCs w:val="24"/>
        </w:rPr>
        <w:t>s</w:t>
      </w:r>
      <w:r w:rsidRPr="00937C19">
        <w:rPr>
          <w:rFonts w:ascii="Times New Roman" w:hAnsi="Times New Roman" w:cs="Times New Roman"/>
          <w:color w:val="000000"/>
          <w:sz w:val="24"/>
          <w:szCs w:val="24"/>
        </w:rPr>
        <w:t>tatyta)</w:t>
      </w:r>
    </w:p>
    <w:tbl>
      <w:tblPr>
        <w:tblStyle w:val="TableGrid"/>
        <w:tblW w:w="0" w:type="auto"/>
        <w:tblLook w:val="04A0" w:firstRow="1" w:lastRow="0" w:firstColumn="1" w:lastColumn="0" w:noHBand="0" w:noVBand="1"/>
      </w:tblPr>
      <w:tblGrid>
        <w:gridCol w:w="9628"/>
      </w:tblGrid>
      <w:tr w:rsidR="00D46745" w:rsidRPr="00937C19" w14:paraId="6117E5EC" w14:textId="77777777" w:rsidTr="00D46745">
        <w:tc>
          <w:tcPr>
            <w:tcW w:w="9628" w:type="dxa"/>
          </w:tcPr>
          <w:p w14:paraId="7DD4A055" w14:textId="5B0B4403" w:rsidR="00D46745" w:rsidRPr="00937C19" w:rsidRDefault="00655444" w:rsidP="0046523B">
            <w:pPr>
              <w:rPr>
                <w:rFonts w:ascii="Times New Roman" w:hAnsi="Times New Roman" w:cs="Times New Roman"/>
                <w:color w:val="000000"/>
                <w:sz w:val="24"/>
                <w:szCs w:val="24"/>
              </w:rPr>
            </w:pPr>
            <w:r>
              <w:rPr>
                <w:rFonts w:ascii="Times New Roman" w:hAnsi="Times New Roman" w:cs="Times New Roman"/>
                <w:color w:val="000000"/>
                <w:sz w:val="24"/>
                <w:szCs w:val="24"/>
              </w:rPr>
              <w:t>Vidurinis išsilavinimas</w:t>
            </w:r>
          </w:p>
        </w:tc>
      </w:tr>
    </w:tbl>
    <w:p w14:paraId="6CDC711D" w14:textId="77777777" w:rsidR="00D46745" w:rsidRPr="00937C19" w:rsidRDefault="00D46745" w:rsidP="0046523B">
      <w:pPr>
        <w:spacing w:after="0" w:line="240" w:lineRule="auto"/>
        <w:rPr>
          <w:rFonts w:ascii="Times New Roman" w:hAnsi="Times New Roman" w:cs="Times New Roman"/>
          <w:color w:val="000000"/>
          <w:sz w:val="24"/>
          <w:szCs w:val="24"/>
        </w:rPr>
      </w:pPr>
    </w:p>
    <w:p w14:paraId="5FEC5254" w14:textId="77777777" w:rsidR="00D46745" w:rsidRPr="00937C19" w:rsidRDefault="00D644AA" w:rsidP="0046523B">
      <w:pPr>
        <w:spacing w:after="0" w:line="240" w:lineRule="auto"/>
        <w:rPr>
          <w:rFonts w:ascii="Times New Roman" w:hAnsi="Times New Roman" w:cs="Times New Roman"/>
          <w:bCs/>
          <w:sz w:val="24"/>
          <w:szCs w:val="24"/>
        </w:rPr>
      </w:pPr>
      <w:r w:rsidRPr="00937C19">
        <w:rPr>
          <w:rFonts w:ascii="Times New Roman" w:hAnsi="Times New Roman" w:cs="Times New Roman"/>
          <w:color w:val="000000"/>
          <w:sz w:val="24"/>
          <w:szCs w:val="24"/>
        </w:rPr>
        <w:t>1.</w:t>
      </w:r>
      <w:r w:rsidR="00982004">
        <w:rPr>
          <w:rFonts w:ascii="Times New Roman" w:hAnsi="Times New Roman" w:cs="Times New Roman"/>
          <w:color w:val="000000"/>
          <w:sz w:val="24"/>
          <w:szCs w:val="24"/>
        </w:rPr>
        <w:t>8</w:t>
      </w:r>
      <w:r w:rsidR="00D46745" w:rsidRPr="00937C19">
        <w:rPr>
          <w:rFonts w:ascii="Times New Roman" w:hAnsi="Times New Roman" w:cs="Times New Roman"/>
          <w:color w:val="000000"/>
          <w:sz w:val="24"/>
          <w:szCs w:val="24"/>
        </w:rPr>
        <w:t xml:space="preserve">. </w:t>
      </w:r>
      <w:r w:rsidR="001F7496" w:rsidRPr="00937C19">
        <w:rPr>
          <w:rFonts w:ascii="Times New Roman" w:hAnsi="Times New Roman" w:cs="Times New Roman"/>
          <w:bCs/>
          <w:sz w:val="24"/>
          <w:szCs w:val="24"/>
        </w:rPr>
        <w:t>Programoje įgyjamos ar tobulinamos kompetencijos</w:t>
      </w:r>
    </w:p>
    <w:tbl>
      <w:tblPr>
        <w:tblStyle w:val="TableGrid"/>
        <w:tblW w:w="9634" w:type="dxa"/>
        <w:tblLook w:val="04A0" w:firstRow="1" w:lastRow="0" w:firstColumn="1" w:lastColumn="0" w:noHBand="0" w:noVBand="1"/>
      </w:tblPr>
      <w:tblGrid>
        <w:gridCol w:w="3211"/>
        <w:gridCol w:w="3211"/>
        <w:gridCol w:w="3212"/>
      </w:tblGrid>
      <w:tr w:rsidR="001F7496" w:rsidRPr="00937C19" w14:paraId="26A8846E" w14:textId="77777777" w:rsidTr="001F7496">
        <w:tc>
          <w:tcPr>
            <w:tcW w:w="3211" w:type="dxa"/>
          </w:tcPr>
          <w:p w14:paraId="081F56D5" w14:textId="77777777" w:rsidR="001F7496" w:rsidRPr="00937C19" w:rsidRDefault="001F7496" w:rsidP="0046523B">
            <w:pPr>
              <w:rPr>
                <w:rFonts w:ascii="Times New Roman" w:hAnsi="Times New Roman" w:cs="Times New Roman"/>
                <w:bCs/>
                <w:sz w:val="24"/>
                <w:szCs w:val="24"/>
              </w:rPr>
            </w:pPr>
            <w:r w:rsidRPr="00937C19">
              <w:rPr>
                <w:rFonts w:ascii="Times New Roman" w:hAnsi="Times New Roman" w:cs="Times New Roman"/>
                <w:bCs/>
                <w:sz w:val="24"/>
                <w:szCs w:val="24"/>
              </w:rPr>
              <w:t>Kompetencijos pavadinimas</w:t>
            </w:r>
          </w:p>
        </w:tc>
        <w:tc>
          <w:tcPr>
            <w:tcW w:w="3211" w:type="dxa"/>
          </w:tcPr>
          <w:p w14:paraId="3552D596" w14:textId="77777777" w:rsidR="001F7496" w:rsidRPr="00937C19" w:rsidRDefault="001F7496" w:rsidP="0046523B">
            <w:pPr>
              <w:rPr>
                <w:rFonts w:ascii="Times New Roman" w:hAnsi="Times New Roman" w:cs="Times New Roman"/>
                <w:bCs/>
                <w:i/>
                <w:sz w:val="24"/>
                <w:szCs w:val="24"/>
              </w:rPr>
            </w:pPr>
            <w:r w:rsidRPr="00937C19">
              <w:rPr>
                <w:rFonts w:ascii="Times New Roman" w:hAnsi="Times New Roman" w:cs="Times New Roman"/>
                <w:bCs/>
                <w:sz w:val="24"/>
                <w:szCs w:val="24"/>
              </w:rPr>
              <w:t>Kvalifikacijos pavadinimas, lygis pagal Lietuvos kvalifikacijų sandarą, jos valstybinis kodas</w:t>
            </w:r>
          </w:p>
        </w:tc>
        <w:tc>
          <w:tcPr>
            <w:tcW w:w="3212" w:type="dxa"/>
          </w:tcPr>
          <w:p w14:paraId="45D8BBC6" w14:textId="77777777" w:rsidR="001F7496" w:rsidRPr="00937C19" w:rsidRDefault="001F7496" w:rsidP="0046523B">
            <w:pPr>
              <w:rPr>
                <w:rFonts w:ascii="Times New Roman" w:hAnsi="Times New Roman" w:cs="Times New Roman"/>
                <w:bCs/>
                <w:sz w:val="24"/>
                <w:szCs w:val="24"/>
              </w:rPr>
            </w:pPr>
            <w:r w:rsidRPr="00937C19">
              <w:rPr>
                <w:rFonts w:ascii="Times New Roman" w:hAnsi="Times New Roman" w:cs="Times New Roman"/>
                <w:bCs/>
                <w:sz w:val="24"/>
                <w:szCs w:val="24"/>
              </w:rPr>
              <w:t>Profesinio standarto pavadinimas, jo valstybinis kodas</w:t>
            </w:r>
          </w:p>
        </w:tc>
      </w:tr>
      <w:tr w:rsidR="004D154D" w:rsidRPr="00937C19" w14:paraId="5346BAA6" w14:textId="77777777" w:rsidTr="001F7496">
        <w:tc>
          <w:tcPr>
            <w:tcW w:w="3211" w:type="dxa"/>
          </w:tcPr>
          <w:p w14:paraId="29ED4036" w14:textId="38AA70E7" w:rsidR="004D154D" w:rsidRPr="00937C19" w:rsidRDefault="004D154D" w:rsidP="0046523B">
            <w:pPr>
              <w:rPr>
                <w:rFonts w:ascii="Times New Roman" w:hAnsi="Times New Roman" w:cs="Times New Roman"/>
                <w:bCs/>
                <w:sz w:val="24"/>
                <w:szCs w:val="24"/>
              </w:rPr>
            </w:pPr>
            <w:r w:rsidRPr="00664D63">
              <w:rPr>
                <w:rFonts w:ascii="Times New Roman" w:hAnsi="Times New Roman" w:cs="Times New Roman"/>
                <w:sz w:val="24"/>
                <w:szCs w:val="24"/>
              </w:rPr>
              <w:t>Konsultuoti klientus asmeninių finansų valdymo klausimais</w:t>
            </w:r>
          </w:p>
        </w:tc>
        <w:tc>
          <w:tcPr>
            <w:tcW w:w="3211" w:type="dxa"/>
          </w:tcPr>
          <w:p w14:paraId="0DC51FB4" w14:textId="4ED29F05" w:rsidR="004D154D" w:rsidRPr="00937C19" w:rsidRDefault="004D154D" w:rsidP="0046523B">
            <w:pPr>
              <w:rPr>
                <w:rFonts w:ascii="Times New Roman" w:hAnsi="Times New Roman" w:cs="Times New Roman"/>
                <w:bCs/>
                <w:sz w:val="24"/>
                <w:szCs w:val="24"/>
              </w:rPr>
            </w:pPr>
            <w:r>
              <w:rPr>
                <w:rFonts w:ascii="Times New Roman" w:eastAsia="Times New Roman" w:hAnsi="Times New Roman" w:cs="Times New Roman"/>
                <w:color w:val="000000" w:themeColor="text1"/>
                <w:sz w:val="24"/>
                <w:szCs w:val="24"/>
                <w:lang w:eastAsia="lt-LT"/>
              </w:rPr>
              <w:t>F</w:t>
            </w:r>
            <w:r w:rsidRPr="00664D63">
              <w:rPr>
                <w:rFonts w:ascii="Times New Roman" w:eastAsia="Times New Roman" w:hAnsi="Times New Roman" w:cs="Times New Roman"/>
                <w:color w:val="000000" w:themeColor="text1"/>
                <w:sz w:val="24"/>
                <w:szCs w:val="24"/>
                <w:lang w:eastAsia="lt-LT"/>
              </w:rPr>
              <w:t>inansinių paslaugų teikėjas</w:t>
            </w:r>
            <w:r w:rsidRPr="00636A1A">
              <w:rPr>
                <w:rFonts w:ascii="Times New Roman" w:eastAsia="Times New Roman" w:hAnsi="Times New Roman" w:cs="Times New Roman"/>
                <w:color w:val="000000" w:themeColor="text1"/>
                <w:sz w:val="24"/>
                <w:szCs w:val="24"/>
                <w:lang w:eastAsia="lt-LT"/>
              </w:rPr>
              <w:t>, LTKS IV</w:t>
            </w:r>
            <w:r w:rsidR="00655444">
              <w:rPr>
                <w:rFonts w:ascii="Times New Roman" w:eastAsiaTheme="minorHAnsi" w:hAnsi="Times New Roman" w:cs="Times New Roman"/>
                <w:color w:val="000000" w:themeColor="text1"/>
                <w:sz w:val="24"/>
                <w:szCs w:val="24"/>
              </w:rPr>
              <w:t>, K164401</w:t>
            </w:r>
          </w:p>
        </w:tc>
        <w:tc>
          <w:tcPr>
            <w:tcW w:w="3212" w:type="dxa"/>
          </w:tcPr>
          <w:p w14:paraId="5E5DE5D3" w14:textId="65F0B90C" w:rsidR="004D154D" w:rsidRPr="00937C19" w:rsidRDefault="004D154D" w:rsidP="0046523B">
            <w:pPr>
              <w:rPr>
                <w:rFonts w:ascii="Times New Roman" w:hAnsi="Times New Roman" w:cs="Times New Roman"/>
                <w:bCs/>
                <w:sz w:val="24"/>
                <w:szCs w:val="24"/>
              </w:rPr>
            </w:pPr>
            <w:r w:rsidRPr="005A6844">
              <w:rPr>
                <w:rFonts w:ascii="Times New Roman" w:eastAsia="Times New Roman" w:hAnsi="Times New Roman" w:cs="Times New Roman"/>
                <w:bCs/>
                <w:sz w:val="24"/>
                <w:szCs w:val="24"/>
                <w:lang w:eastAsia="lt-LT"/>
              </w:rPr>
              <w:t>Nekilnojamojo turto operacijų, finansinių, apskaitos ir draudimo paslaugų sektoriaus profesin</w:t>
            </w:r>
            <w:r>
              <w:rPr>
                <w:rFonts w:ascii="Times New Roman" w:eastAsia="Times New Roman" w:hAnsi="Times New Roman" w:cs="Times New Roman"/>
                <w:bCs/>
                <w:sz w:val="24"/>
                <w:szCs w:val="24"/>
                <w:lang w:eastAsia="lt-LT"/>
              </w:rPr>
              <w:t>is</w:t>
            </w:r>
            <w:r w:rsidRPr="005A6844">
              <w:rPr>
                <w:rFonts w:ascii="Times New Roman" w:eastAsia="Times New Roman" w:hAnsi="Times New Roman" w:cs="Times New Roman"/>
                <w:bCs/>
                <w:sz w:val="24"/>
                <w:szCs w:val="24"/>
                <w:lang w:eastAsia="lt-LT"/>
              </w:rPr>
              <w:t xml:space="preserve"> standart</w:t>
            </w:r>
            <w:r>
              <w:rPr>
                <w:rFonts w:ascii="Times New Roman" w:eastAsia="Times New Roman" w:hAnsi="Times New Roman" w:cs="Times New Roman"/>
                <w:bCs/>
                <w:sz w:val="24"/>
                <w:szCs w:val="24"/>
                <w:lang w:eastAsia="lt-LT"/>
              </w:rPr>
              <w:t>as</w:t>
            </w:r>
            <w:r>
              <w:rPr>
                <w:rFonts w:ascii="Times New Roman" w:eastAsia="Times New Roman" w:hAnsi="Times New Roman" w:cs="Times New Roman"/>
                <w:bCs/>
                <w:color w:val="000000"/>
                <w:sz w:val="24"/>
                <w:szCs w:val="24"/>
                <w:lang w:eastAsia="lt-LT"/>
              </w:rPr>
              <w:t>,</w:t>
            </w:r>
            <w:r w:rsidRPr="00636A1A">
              <w:rPr>
                <w:rFonts w:ascii="Times New Roman" w:eastAsia="Times New Roman" w:hAnsi="Times New Roman" w:cs="Times New Roman"/>
                <w:bCs/>
                <w:color w:val="000000"/>
                <w:sz w:val="24"/>
                <w:szCs w:val="24"/>
                <w:lang w:eastAsia="lt-LT"/>
              </w:rPr>
              <w:t xml:space="preserve"> PS</w:t>
            </w:r>
            <w:r>
              <w:rPr>
                <w:rFonts w:ascii="Times New Roman" w:eastAsia="Times New Roman" w:hAnsi="Times New Roman" w:cs="Times New Roman"/>
                <w:bCs/>
                <w:color w:val="000000"/>
                <w:sz w:val="24"/>
                <w:szCs w:val="24"/>
                <w:lang w:eastAsia="lt-LT"/>
              </w:rPr>
              <w:t>K</w:t>
            </w:r>
            <w:r w:rsidRPr="00636A1A">
              <w:rPr>
                <w:rFonts w:ascii="Times New Roman" w:eastAsia="Times New Roman" w:hAnsi="Times New Roman" w:cs="Times New Roman"/>
                <w:bCs/>
                <w:color w:val="000000"/>
                <w:sz w:val="24"/>
                <w:szCs w:val="24"/>
                <w:lang w:eastAsia="lt-LT"/>
              </w:rPr>
              <w:t>01</w:t>
            </w:r>
          </w:p>
        </w:tc>
      </w:tr>
      <w:tr w:rsidR="004D154D" w:rsidRPr="00937C19" w14:paraId="37D70824" w14:textId="77777777" w:rsidTr="001F7496">
        <w:tc>
          <w:tcPr>
            <w:tcW w:w="3211" w:type="dxa"/>
          </w:tcPr>
          <w:p w14:paraId="5B735AD4" w14:textId="5EF7F9C4" w:rsidR="004D154D" w:rsidRPr="00937C19" w:rsidRDefault="004D154D" w:rsidP="0046523B">
            <w:pPr>
              <w:rPr>
                <w:rFonts w:ascii="Times New Roman" w:hAnsi="Times New Roman" w:cs="Times New Roman"/>
                <w:bCs/>
                <w:sz w:val="24"/>
                <w:szCs w:val="24"/>
              </w:rPr>
            </w:pPr>
            <w:r w:rsidRPr="00664D63">
              <w:rPr>
                <w:rFonts w:ascii="Times New Roman" w:hAnsi="Times New Roman" w:cs="Times New Roman"/>
                <w:sz w:val="24"/>
                <w:szCs w:val="24"/>
              </w:rPr>
              <w:t>Parinkti asmeninių finansų valdymo strategijas ir metodus</w:t>
            </w:r>
          </w:p>
        </w:tc>
        <w:tc>
          <w:tcPr>
            <w:tcW w:w="3211" w:type="dxa"/>
          </w:tcPr>
          <w:p w14:paraId="73705FC3" w14:textId="6A368359" w:rsidR="004D154D" w:rsidRPr="00937C19" w:rsidRDefault="004D154D" w:rsidP="0046523B">
            <w:pPr>
              <w:rPr>
                <w:rFonts w:ascii="Times New Roman" w:hAnsi="Times New Roman" w:cs="Times New Roman"/>
                <w:bCs/>
                <w:sz w:val="24"/>
                <w:szCs w:val="24"/>
              </w:rPr>
            </w:pPr>
            <w:r>
              <w:rPr>
                <w:rFonts w:ascii="Times New Roman" w:eastAsia="Times New Roman" w:hAnsi="Times New Roman" w:cs="Times New Roman"/>
                <w:color w:val="000000" w:themeColor="text1"/>
                <w:sz w:val="24"/>
                <w:szCs w:val="24"/>
                <w:lang w:eastAsia="lt-LT"/>
              </w:rPr>
              <w:t>F</w:t>
            </w:r>
            <w:r w:rsidRPr="00664D63">
              <w:rPr>
                <w:rFonts w:ascii="Times New Roman" w:eastAsia="Times New Roman" w:hAnsi="Times New Roman" w:cs="Times New Roman"/>
                <w:color w:val="000000" w:themeColor="text1"/>
                <w:sz w:val="24"/>
                <w:szCs w:val="24"/>
                <w:lang w:eastAsia="lt-LT"/>
              </w:rPr>
              <w:t>inansinių paslaugų teikėjas</w:t>
            </w:r>
            <w:r w:rsidRPr="00636A1A">
              <w:rPr>
                <w:rFonts w:ascii="Times New Roman" w:eastAsia="Times New Roman" w:hAnsi="Times New Roman" w:cs="Times New Roman"/>
                <w:color w:val="000000" w:themeColor="text1"/>
                <w:sz w:val="24"/>
                <w:szCs w:val="24"/>
                <w:lang w:eastAsia="lt-LT"/>
              </w:rPr>
              <w:t>, LTKS IV</w:t>
            </w:r>
            <w:r w:rsidR="00655444">
              <w:rPr>
                <w:rFonts w:ascii="Times New Roman" w:eastAsia="Times New Roman" w:hAnsi="Times New Roman" w:cs="Times New Roman"/>
                <w:color w:val="000000" w:themeColor="text1"/>
                <w:sz w:val="24"/>
                <w:szCs w:val="24"/>
                <w:lang w:eastAsia="lt-LT"/>
              </w:rPr>
              <w:t xml:space="preserve">, </w:t>
            </w:r>
            <w:r w:rsidR="00655444">
              <w:rPr>
                <w:rFonts w:ascii="Times New Roman" w:eastAsiaTheme="minorHAnsi" w:hAnsi="Times New Roman" w:cs="Times New Roman"/>
                <w:color w:val="000000" w:themeColor="text1"/>
                <w:sz w:val="24"/>
                <w:szCs w:val="24"/>
              </w:rPr>
              <w:t>K164401</w:t>
            </w:r>
            <w:r w:rsidRPr="00636A1A">
              <w:rPr>
                <w:rFonts w:ascii="Times New Roman" w:eastAsiaTheme="minorHAnsi" w:hAnsi="Times New Roman" w:cs="Times New Roman"/>
                <w:color w:val="000000" w:themeColor="text1"/>
                <w:sz w:val="24"/>
                <w:szCs w:val="24"/>
              </w:rPr>
              <w:t xml:space="preserve"> </w:t>
            </w:r>
          </w:p>
        </w:tc>
        <w:tc>
          <w:tcPr>
            <w:tcW w:w="3212" w:type="dxa"/>
          </w:tcPr>
          <w:p w14:paraId="3916B97F" w14:textId="2D8A124F" w:rsidR="004D154D" w:rsidRPr="00937C19" w:rsidRDefault="004D154D" w:rsidP="0046523B">
            <w:pPr>
              <w:rPr>
                <w:rFonts w:ascii="Times New Roman" w:hAnsi="Times New Roman" w:cs="Times New Roman"/>
                <w:bCs/>
                <w:sz w:val="24"/>
                <w:szCs w:val="24"/>
              </w:rPr>
            </w:pPr>
            <w:r w:rsidRPr="005A6844">
              <w:rPr>
                <w:rFonts w:ascii="Times New Roman" w:eastAsia="Times New Roman" w:hAnsi="Times New Roman" w:cs="Times New Roman"/>
                <w:bCs/>
                <w:sz w:val="24"/>
                <w:szCs w:val="24"/>
                <w:lang w:eastAsia="lt-LT"/>
              </w:rPr>
              <w:t>Nekilnojamojo turto operacijų, finansinių, apskaitos ir draudimo paslaugų sektoriaus profesin</w:t>
            </w:r>
            <w:r>
              <w:rPr>
                <w:rFonts w:ascii="Times New Roman" w:eastAsia="Times New Roman" w:hAnsi="Times New Roman" w:cs="Times New Roman"/>
                <w:bCs/>
                <w:sz w:val="24"/>
                <w:szCs w:val="24"/>
                <w:lang w:eastAsia="lt-LT"/>
              </w:rPr>
              <w:t>is</w:t>
            </w:r>
            <w:r w:rsidRPr="005A6844">
              <w:rPr>
                <w:rFonts w:ascii="Times New Roman" w:eastAsia="Times New Roman" w:hAnsi="Times New Roman" w:cs="Times New Roman"/>
                <w:bCs/>
                <w:sz w:val="24"/>
                <w:szCs w:val="24"/>
                <w:lang w:eastAsia="lt-LT"/>
              </w:rPr>
              <w:t xml:space="preserve"> standart</w:t>
            </w:r>
            <w:r>
              <w:rPr>
                <w:rFonts w:ascii="Times New Roman" w:eastAsia="Times New Roman" w:hAnsi="Times New Roman" w:cs="Times New Roman"/>
                <w:bCs/>
                <w:sz w:val="24"/>
                <w:szCs w:val="24"/>
                <w:lang w:eastAsia="lt-LT"/>
              </w:rPr>
              <w:t>as</w:t>
            </w:r>
            <w:r>
              <w:rPr>
                <w:rFonts w:ascii="Times New Roman" w:eastAsia="Times New Roman" w:hAnsi="Times New Roman" w:cs="Times New Roman"/>
                <w:bCs/>
                <w:color w:val="000000"/>
                <w:sz w:val="24"/>
                <w:szCs w:val="24"/>
                <w:lang w:eastAsia="lt-LT"/>
              </w:rPr>
              <w:t>,</w:t>
            </w:r>
            <w:r w:rsidRPr="00636A1A">
              <w:rPr>
                <w:rFonts w:ascii="Times New Roman" w:eastAsia="Times New Roman" w:hAnsi="Times New Roman" w:cs="Times New Roman"/>
                <w:bCs/>
                <w:color w:val="000000"/>
                <w:sz w:val="24"/>
                <w:szCs w:val="24"/>
                <w:lang w:eastAsia="lt-LT"/>
              </w:rPr>
              <w:t xml:space="preserve"> PS</w:t>
            </w:r>
            <w:r>
              <w:rPr>
                <w:rFonts w:ascii="Times New Roman" w:eastAsia="Times New Roman" w:hAnsi="Times New Roman" w:cs="Times New Roman"/>
                <w:bCs/>
                <w:color w:val="000000"/>
                <w:sz w:val="24"/>
                <w:szCs w:val="24"/>
                <w:lang w:eastAsia="lt-LT"/>
              </w:rPr>
              <w:t>K</w:t>
            </w:r>
            <w:r w:rsidRPr="00636A1A">
              <w:rPr>
                <w:rFonts w:ascii="Times New Roman" w:eastAsia="Times New Roman" w:hAnsi="Times New Roman" w:cs="Times New Roman"/>
                <w:bCs/>
                <w:color w:val="000000"/>
                <w:sz w:val="24"/>
                <w:szCs w:val="24"/>
                <w:lang w:eastAsia="lt-LT"/>
              </w:rPr>
              <w:t>01</w:t>
            </w:r>
          </w:p>
        </w:tc>
      </w:tr>
      <w:tr w:rsidR="004D154D" w:rsidRPr="00937C19" w14:paraId="6D0613BC" w14:textId="77777777" w:rsidTr="001F7496">
        <w:tc>
          <w:tcPr>
            <w:tcW w:w="3211" w:type="dxa"/>
          </w:tcPr>
          <w:p w14:paraId="4F602019" w14:textId="24ED2E54" w:rsidR="004D154D" w:rsidRPr="00937C19" w:rsidRDefault="004D154D" w:rsidP="0046523B">
            <w:pPr>
              <w:rPr>
                <w:rFonts w:ascii="Times New Roman" w:hAnsi="Times New Roman" w:cs="Times New Roman"/>
                <w:bCs/>
                <w:sz w:val="24"/>
                <w:szCs w:val="24"/>
              </w:rPr>
            </w:pPr>
            <w:r w:rsidRPr="00664D63">
              <w:rPr>
                <w:rFonts w:ascii="Times New Roman" w:hAnsi="Times New Roman" w:cs="Times New Roman"/>
                <w:sz w:val="24"/>
                <w:szCs w:val="24"/>
              </w:rPr>
              <w:t>Konsultuoti namų ūkio biudžeto sudarymo klausimais</w:t>
            </w:r>
          </w:p>
        </w:tc>
        <w:tc>
          <w:tcPr>
            <w:tcW w:w="3211" w:type="dxa"/>
          </w:tcPr>
          <w:p w14:paraId="35BC42D0" w14:textId="6E95963B" w:rsidR="004D154D" w:rsidRPr="00937C19" w:rsidRDefault="004D154D" w:rsidP="0046523B">
            <w:pPr>
              <w:rPr>
                <w:rFonts w:ascii="Times New Roman" w:hAnsi="Times New Roman" w:cs="Times New Roman"/>
                <w:bCs/>
                <w:sz w:val="24"/>
                <w:szCs w:val="24"/>
              </w:rPr>
            </w:pPr>
            <w:r>
              <w:rPr>
                <w:rFonts w:ascii="Times New Roman" w:eastAsia="Times New Roman" w:hAnsi="Times New Roman" w:cs="Times New Roman"/>
                <w:color w:val="000000" w:themeColor="text1"/>
                <w:sz w:val="24"/>
                <w:szCs w:val="24"/>
                <w:lang w:eastAsia="lt-LT"/>
              </w:rPr>
              <w:t>F</w:t>
            </w:r>
            <w:r w:rsidRPr="00664D63">
              <w:rPr>
                <w:rFonts w:ascii="Times New Roman" w:eastAsia="Times New Roman" w:hAnsi="Times New Roman" w:cs="Times New Roman"/>
                <w:color w:val="000000" w:themeColor="text1"/>
                <w:sz w:val="24"/>
                <w:szCs w:val="24"/>
                <w:lang w:eastAsia="lt-LT"/>
              </w:rPr>
              <w:t>inansinių paslaugų teikėjas</w:t>
            </w:r>
            <w:r w:rsidRPr="00636A1A">
              <w:rPr>
                <w:rFonts w:ascii="Times New Roman" w:eastAsia="Times New Roman" w:hAnsi="Times New Roman" w:cs="Times New Roman"/>
                <w:color w:val="000000" w:themeColor="text1"/>
                <w:sz w:val="24"/>
                <w:szCs w:val="24"/>
                <w:lang w:eastAsia="lt-LT"/>
              </w:rPr>
              <w:t>, LTKS IV</w:t>
            </w:r>
            <w:r w:rsidR="00655444">
              <w:rPr>
                <w:rFonts w:ascii="Times New Roman" w:eastAsia="Times New Roman" w:hAnsi="Times New Roman" w:cs="Times New Roman"/>
                <w:color w:val="000000" w:themeColor="text1"/>
                <w:sz w:val="24"/>
                <w:szCs w:val="24"/>
                <w:lang w:eastAsia="lt-LT"/>
              </w:rPr>
              <w:t xml:space="preserve">, </w:t>
            </w:r>
            <w:r w:rsidR="00655444">
              <w:rPr>
                <w:rFonts w:ascii="Times New Roman" w:eastAsiaTheme="minorHAnsi" w:hAnsi="Times New Roman" w:cs="Times New Roman"/>
                <w:color w:val="000000" w:themeColor="text1"/>
                <w:sz w:val="24"/>
                <w:szCs w:val="24"/>
              </w:rPr>
              <w:t>K164401</w:t>
            </w:r>
            <w:r w:rsidRPr="00636A1A">
              <w:rPr>
                <w:rFonts w:ascii="Times New Roman" w:eastAsiaTheme="minorHAnsi" w:hAnsi="Times New Roman" w:cs="Times New Roman"/>
                <w:color w:val="000000" w:themeColor="text1"/>
                <w:sz w:val="24"/>
                <w:szCs w:val="24"/>
              </w:rPr>
              <w:t xml:space="preserve"> </w:t>
            </w:r>
          </w:p>
        </w:tc>
        <w:tc>
          <w:tcPr>
            <w:tcW w:w="3212" w:type="dxa"/>
          </w:tcPr>
          <w:p w14:paraId="125BF657" w14:textId="206FF90D" w:rsidR="004D154D" w:rsidRPr="00937C19" w:rsidRDefault="004D154D" w:rsidP="0046523B">
            <w:pPr>
              <w:rPr>
                <w:rFonts w:ascii="Times New Roman" w:hAnsi="Times New Roman" w:cs="Times New Roman"/>
                <w:bCs/>
                <w:sz w:val="24"/>
                <w:szCs w:val="24"/>
              </w:rPr>
            </w:pPr>
            <w:r w:rsidRPr="005A6844">
              <w:rPr>
                <w:rFonts w:ascii="Times New Roman" w:eastAsia="Times New Roman" w:hAnsi="Times New Roman" w:cs="Times New Roman"/>
                <w:bCs/>
                <w:sz w:val="24"/>
                <w:szCs w:val="24"/>
                <w:lang w:eastAsia="lt-LT"/>
              </w:rPr>
              <w:t>Nekilnojamojo turto operacijų, finansinių, apskaitos ir draudimo paslaugų sektoriaus profesin</w:t>
            </w:r>
            <w:r>
              <w:rPr>
                <w:rFonts w:ascii="Times New Roman" w:eastAsia="Times New Roman" w:hAnsi="Times New Roman" w:cs="Times New Roman"/>
                <w:bCs/>
                <w:sz w:val="24"/>
                <w:szCs w:val="24"/>
                <w:lang w:eastAsia="lt-LT"/>
              </w:rPr>
              <w:t>is</w:t>
            </w:r>
            <w:r w:rsidRPr="005A6844">
              <w:rPr>
                <w:rFonts w:ascii="Times New Roman" w:eastAsia="Times New Roman" w:hAnsi="Times New Roman" w:cs="Times New Roman"/>
                <w:bCs/>
                <w:sz w:val="24"/>
                <w:szCs w:val="24"/>
                <w:lang w:eastAsia="lt-LT"/>
              </w:rPr>
              <w:t xml:space="preserve"> standart</w:t>
            </w:r>
            <w:r>
              <w:rPr>
                <w:rFonts w:ascii="Times New Roman" w:eastAsia="Times New Roman" w:hAnsi="Times New Roman" w:cs="Times New Roman"/>
                <w:bCs/>
                <w:sz w:val="24"/>
                <w:szCs w:val="24"/>
                <w:lang w:eastAsia="lt-LT"/>
              </w:rPr>
              <w:t>as</w:t>
            </w:r>
            <w:r>
              <w:rPr>
                <w:rFonts w:ascii="Times New Roman" w:eastAsia="Times New Roman" w:hAnsi="Times New Roman" w:cs="Times New Roman"/>
                <w:bCs/>
                <w:color w:val="000000"/>
                <w:sz w:val="24"/>
                <w:szCs w:val="24"/>
                <w:lang w:eastAsia="lt-LT"/>
              </w:rPr>
              <w:t>,</w:t>
            </w:r>
            <w:r w:rsidRPr="00636A1A">
              <w:rPr>
                <w:rFonts w:ascii="Times New Roman" w:eastAsia="Times New Roman" w:hAnsi="Times New Roman" w:cs="Times New Roman"/>
                <w:bCs/>
                <w:color w:val="000000"/>
                <w:sz w:val="24"/>
                <w:szCs w:val="24"/>
                <w:lang w:eastAsia="lt-LT"/>
              </w:rPr>
              <w:t xml:space="preserve"> PS</w:t>
            </w:r>
            <w:r>
              <w:rPr>
                <w:rFonts w:ascii="Times New Roman" w:eastAsia="Times New Roman" w:hAnsi="Times New Roman" w:cs="Times New Roman"/>
                <w:bCs/>
                <w:color w:val="000000"/>
                <w:sz w:val="24"/>
                <w:szCs w:val="24"/>
                <w:lang w:eastAsia="lt-LT"/>
              </w:rPr>
              <w:t>K</w:t>
            </w:r>
            <w:r w:rsidRPr="00636A1A">
              <w:rPr>
                <w:rFonts w:ascii="Times New Roman" w:eastAsia="Times New Roman" w:hAnsi="Times New Roman" w:cs="Times New Roman"/>
                <w:bCs/>
                <w:color w:val="000000"/>
                <w:sz w:val="24"/>
                <w:szCs w:val="24"/>
                <w:lang w:eastAsia="lt-LT"/>
              </w:rPr>
              <w:t>01</w:t>
            </w:r>
          </w:p>
        </w:tc>
      </w:tr>
      <w:tr w:rsidR="004D154D" w:rsidRPr="00937C19" w14:paraId="3305C0A2" w14:textId="77777777" w:rsidTr="001F7496">
        <w:tc>
          <w:tcPr>
            <w:tcW w:w="3211" w:type="dxa"/>
          </w:tcPr>
          <w:p w14:paraId="117019E9" w14:textId="02B21F40" w:rsidR="004D154D" w:rsidRPr="00937C19" w:rsidRDefault="004D154D" w:rsidP="0046523B">
            <w:pPr>
              <w:rPr>
                <w:rFonts w:ascii="Times New Roman" w:hAnsi="Times New Roman" w:cs="Times New Roman"/>
                <w:bCs/>
                <w:sz w:val="24"/>
                <w:szCs w:val="24"/>
              </w:rPr>
            </w:pPr>
            <w:r w:rsidRPr="00664D63">
              <w:rPr>
                <w:rFonts w:ascii="Times New Roman" w:hAnsi="Times New Roman" w:cs="Times New Roman"/>
                <w:sz w:val="24"/>
                <w:szCs w:val="24"/>
              </w:rPr>
              <w:t>Įvertinti asmeninių finansų valdymo rizikas ir investavimo galimybes</w:t>
            </w:r>
          </w:p>
        </w:tc>
        <w:tc>
          <w:tcPr>
            <w:tcW w:w="3211" w:type="dxa"/>
          </w:tcPr>
          <w:p w14:paraId="149EA88F" w14:textId="37E67E41" w:rsidR="004D154D" w:rsidRPr="00937C19" w:rsidRDefault="004D154D" w:rsidP="0046523B">
            <w:pPr>
              <w:rPr>
                <w:rFonts w:ascii="Times New Roman" w:hAnsi="Times New Roman" w:cs="Times New Roman"/>
                <w:bCs/>
                <w:sz w:val="24"/>
                <w:szCs w:val="24"/>
              </w:rPr>
            </w:pPr>
            <w:r>
              <w:rPr>
                <w:rFonts w:ascii="Times New Roman" w:eastAsia="Times New Roman" w:hAnsi="Times New Roman" w:cs="Times New Roman"/>
                <w:color w:val="000000" w:themeColor="text1"/>
                <w:sz w:val="24"/>
                <w:szCs w:val="24"/>
                <w:lang w:eastAsia="lt-LT"/>
              </w:rPr>
              <w:t>F</w:t>
            </w:r>
            <w:r w:rsidRPr="00664D63">
              <w:rPr>
                <w:rFonts w:ascii="Times New Roman" w:eastAsia="Times New Roman" w:hAnsi="Times New Roman" w:cs="Times New Roman"/>
                <w:color w:val="000000" w:themeColor="text1"/>
                <w:sz w:val="24"/>
                <w:szCs w:val="24"/>
                <w:lang w:eastAsia="lt-LT"/>
              </w:rPr>
              <w:t>inansinių paslaugų teikėjas</w:t>
            </w:r>
            <w:r w:rsidRPr="00636A1A">
              <w:rPr>
                <w:rFonts w:ascii="Times New Roman" w:eastAsia="Times New Roman" w:hAnsi="Times New Roman" w:cs="Times New Roman"/>
                <w:color w:val="000000" w:themeColor="text1"/>
                <w:sz w:val="24"/>
                <w:szCs w:val="24"/>
                <w:lang w:eastAsia="lt-LT"/>
              </w:rPr>
              <w:t>, LTKS IV</w:t>
            </w:r>
            <w:r w:rsidR="00655444">
              <w:rPr>
                <w:rFonts w:ascii="Times New Roman" w:eastAsia="Times New Roman" w:hAnsi="Times New Roman" w:cs="Times New Roman"/>
                <w:color w:val="000000" w:themeColor="text1"/>
                <w:sz w:val="24"/>
                <w:szCs w:val="24"/>
                <w:lang w:eastAsia="lt-LT"/>
              </w:rPr>
              <w:t xml:space="preserve">, </w:t>
            </w:r>
            <w:r w:rsidR="00655444">
              <w:rPr>
                <w:rFonts w:ascii="Times New Roman" w:eastAsiaTheme="minorHAnsi" w:hAnsi="Times New Roman" w:cs="Times New Roman"/>
                <w:color w:val="000000" w:themeColor="text1"/>
                <w:sz w:val="24"/>
                <w:szCs w:val="24"/>
              </w:rPr>
              <w:t>K164401</w:t>
            </w:r>
            <w:r w:rsidRPr="00636A1A">
              <w:rPr>
                <w:rFonts w:ascii="Times New Roman" w:eastAsiaTheme="minorHAnsi" w:hAnsi="Times New Roman" w:cs="Times New Roman"/>
                <w:color w:val="000000" w:themeColor="text1"/>
                <w:sz w:val="24"/>
                <w:szCs w:val="24"/>
              </w:rPr>
              <w:t xml:space="preserve"> </w:t>
            </w:r>
          </w:p>
        </w:tc>
        <w:tc>
          <w:tcPr>
            <w:tcW w:w="3212" w:type="dxa"/>
          </w:tcPr>
          <w:p w14:paraId="25B5302C" w14:textId="7EA7E503" w:rsidR="004D154D" w:rsidRPr="00937C19" w:rsidRDefault="004D154D" w:rsidP="0046523B">
            <w:pPr>
              <w:rPr>
                <w:rFonts w:ascii="Times New Roman" w:hAnsi="Times New Roman" w:cs="Times New Roman"/>
                <w:bCs/>
                <w:sz w:val="24"/>
                <w:szCs w:val="24"/>
              </w:rPr>
            </w:pPr>
            <w:r w:rsidRPr="005A6844">
              <w:rPr>
                <w:rFonts w:ascii="Times New Roman" w:eastAsia="Times New Roman" w:hAnsi="Times New Roman" w:cs="Times New Roman"/>
                <w:bCs/>
                <w:sz w:val="24"/>
                <w:szCs w:val="24"/>
                <w:lang w:eastAsia="lt-LT"/>
              </w:rPr>
              <w:t xml:space="preserve">Nekilnojamojo turto operacijų, finansinių, apskaitos ir </w:t>
            </w:r>
            <w:r w:rsidRPr="005A6844">
              <w:rPr>
                <w:rFonts w:ascii="Times New Roman" w:eastAsia="Times New Roman" w:hAnsi="Times New Roman" w:cs="Times New Roman"/>
                <w:bCs/>
                <w:sz w:val="24"/>
                <w:szCs w:val="24"/>
                <w:lang w:eastAsia="lt-LT"/>
              </w:rPr>
              <w:lastRenderedPageBreak/>
              <w:t>draudimo paslaugų sektoriaus profesin</w:t>
            </w:r>
            <w:r>
              <w:rPr>
                <w:rFonts w:ascii="Times New Roman" w:eastAsia="Times New Roman" w:hAnsi="Times New Roman" w:cs="Times New Roman"/>
                <w:bCs/>
                <w:sz w:val="24"/>
                <w:szCs w:val="24"/>
                <w:lang w:eastAsia="lt-LT"/>
              </w:rPr>
              <w:t>is</w:t>
            </w:r>
            <w:r w:rsidRPr="005A6844">
              <w:rPr>
                <w:rFonts w:ascii="Times New Roman" w:eastAsia="Times New Roman" w:hAnsi="Times New Roman" w:cs="Times New Roman"/>
                <w:bCs/>
                <w:sz w:val="24"/>
                <w:szCs w:val="24"/>
                <w:lang w:eastAsia="lt-LT"/>
              </w:rPr>
              <w:t xml:space="preserve"> standart</w:t>
            </w:r>
            <w:r>
              <w:rPr>
                <w:rFonts w:ascii="Times New Roman" w:eastAsia="Times New Roman" w:hAnsi="Times New Roman" w:cs="Times New Roman"/>
                <w:bCs/>
                <w:sz w:val="24"/>
                <w:szCs w:val="24"/>
                <w:lang w:eastAsia="lt-LT"/>
              </w:rPr>
              <w:t>as</w:t>
            </w:r>
            <w:r>
              <w:rPr>
                <w:rFonts w:ascii="Times New Roman" w:eastAsia="Times New Roman" w:hAnsi="Times New Roman" w:cs="Times New Roman"/>
                <w:bCs/>
                <w:color w:val="000000"/>
                <w:sz w:val="24"/>
                <w:szCs w:val="24"/>
                <w:lang w:eastAsia="lt-LT"/>
              </w:rPr>
              <w:t>,</w:t>
            </w:r>
            <w:r w:rsidRPr="00636A1A">
              <w:rPr>
                <w:rFonts w:ascii="Times New Roman" w:eastAsia="Times New Roman" w:hAnsi="Times New Roman" w:cs="Times New Roman"/>
                <w:bCs/>
                <w:color w:val="000000"/>
                <w:sz w:val="24"/>
                <w:szCs w:val="24"/>
                <w:lang w:eastAsia="lt-LT"/>
              </w:rPr>
              <w:t xml:space="preserve"> PS</w:t>
            </w:r>
            <w:r>
              <w:rPr>
                <w:rFonts w:ascii="Times New Roman" w:eastAsia="Times New Roman" w:hAnsi="Times New Roman" w:cs="Times New Roman"/>
                <w:bCs/>
                <w:color w:val="000000"/>
                <w:sz w:val="24"/>
                <w:szCs w:val="24"/>
                <w:lang w:eastAsia="lt-LT"/>
              </w:rPr>
              <w:t>K</w:t>
            </w:r>
            <w:r w:rsidRPr="00636A1A">
              <w:rPr>
                <w:rFonts w:ascii="Times New Roman" w:eastAsia="Times New Roman" w:hAnsi="Times New Roman" w:cs="Times New Roman"/>
                <w:bCs/>
                <w:color w:val="000000"/>
                <w:sz w:val="24"/>
                <w:szCs w:val="24"/>
                <w:lang w:eastAsia="lt-LT"/>
              </w:rPr>
              <w:t>01</w:t>
            </w:r>
          </w:p>
        </w:tc>
      </w:tr>
    </w:tbl>
    <w:p w14:paraId="1D3012FA" w14:textId="77777777" w:rsidR="001F7496" w:rsidRPr="00937C19" w:rsidRDefault="001F7496" w:rsidP="0046523B">
      <w:pPr>
        <w:spacing w:after="0" w:line="240" w:lineRule="auto"/>
        <w:rPr>
          <w:rFonts w:ascii="Times New Roman" w:hAnsi="Times New Roman" w:cs="Times New Roman"/>
          <w:color w:val="000000"/>
          <w:sz w:val="24"/>
          <w:szCs w:val="24"/>
        </w:rPr>
      </w:pPr>
    </w:p>
    <w:p w14:paraId="5854C813" w14:textId="77777777" w:rsidR="00937C19" w:rsidRDefault="00937C19" w:rsidP="0046523B">
      <w:pPr>
        <w:spacing w:after="0" w:line="240" w:lineRule="auto"/>
        <w:rPr>
          <w:rFonts w:ascii="Times New Roman" w:hAnsi="Times New Roman" w:cs="Times New Roman"/>
          <w:color w:val="000000"/>
          <w:sz w:val="24"/>
          <w:szCs w:val="24"/>
        </w:rPr>
      </w:pPr>
      <w:r w:rsidRPr="00937C19">
        <w:rPr>
          <w:rFonts w:ascii="Times New Roman" w:hAnsi="Times New Roman" w:cs="Times New Roman"/>
          <w:color w:val="000000"/>
          <w:sz w:val="24"/>
          <w:szCs w:val="24"/>
        </w:rPr>
        <w:t>1.</w:t>
      </w:r>
      <w:r w:rsidR="00982004">
        <w:rPr>
          <w:rFonts w:ascii="Times New Roman" w:hAnsi="Times New Roman" w:cs="Times New Roman"/>
          <w:color w:val="000000"/>
          <w:sz w:val="24"/>
          <w:szCs w:val="24"/>
        </w:rPr>
        <w:t>9</w:t>
      </w:r>
      <w:r w:rsidRPr="00937C19">
        <w:rPr>
          <w:rFonts w:ascii="Times New Roman" w:hAnsi="Times New Roman" w:cs="Times New Roman"/>
          <w:color w:val="000000"/>
          <w:sz w:val="24"/>
          <w:szCs w:val="24"/>
        </w:rPr>
        <w:t>.</w:t>
      </w:r>
      <w:r>
        <w:rPr>
          <w:rFonts w:ascii="Times New Roman" w:hAnsi="Times New Roman" w:cs="Times New Roman"/>
          <w:color w:val="000000"/>
          <w:sz w:val="24"/>
          <w:szCs w:val="24"/>
        </w:rPr>
        <w:t xml:space="preserve"> Papildomi reikalavimai mokymą pagal programą užsakančios ir (ar) mokymą finansuojančios institucijos</w:t>
      </w:r>
    </w:p>
    <w:tbl>
      <w:tblPr>
        <w:tblStyle w:val="TableGrid"/>
        <w:tblW w:w="0" w:type="auto"/>
        <w:tblLook w:val="04A0" w:firstRow="1" w:lastRow="0" w:firstColumn="1" w:lastColumn="0" w:noHBand="0" w:noVBand="1"/>
      </w:tblPr>
      <w:tblGrid>
        <w:gridCol w:w="9628"/>
      </w:tblGrid>
      <w:tr w:rsidR="00937C19" w14:paraId="72C36BAE" w14:textId="77777777" w:rsidTr="00937C19">
        <w:tc>
          <w:tcPr>
            <w:tcW w:w="9628" w:type="dxa"/>
          </w:tcPr>
          <w:p w14:paraId="478C7724" w14:textId="77777777" w:rsidR="00937C19" w:rsidRPr="001A2C0F" w:rsidRDefault="001A2C0F" w:rsidP="0046523B">
            <w:pPr>
              <w:pStyle w:val="ListParagraph"/>
              <w:numPr>
                <w:ilvl w:val="0"/>
                <w:numId w:val="6"/>
              </w:numPr>
              <w:spacing w:after="0" w:line="240" w:lineRule="auto"/>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Jei asmens mokymas yra finansuojamas iš Užimtumo </w:t>
            </w:r>
            <w:r w:rsidR="002360E9">
              <w:rPr>
                <w:rFonts w:ascii="Times New Roman" w:hAnsi="Times New Roman" w:cs="Times New Roman"/>
                <w:color w:val="000000"/>
                <w:sz w:val="24"/>
                <w:szCs w:val="24"/>
              </w:rPr>
              <w:t>tarnybos</w:t>
            </w:r>
            <w:r>
              <w:rPr>
                <w:rFonts w:ascii="Times New Roman" w:hAnsi="Times New Roman" w:cs="Times New Roman"/>
                <w:color w:val="000000"/>
                <w:sz w:val="24"/>
                <w:szCs w:val="24"/>
              </w:rPr>
              <w:t xml:space="preserve"> lėšų, asmeniui, baigusiam programą yra būtinas įgytų kompetencijų vertinimas.</w:t>
            </w:r>
          </w:p>
        </w:tc>
      </w:tr>
    </w:tbl>
    <w:p w14:paraId="4E06D69D" w14:textId="77777777" w:rsidR="00937C19" w:rsidRPr="00937C19" w:rsidRDefault="00937C19" w:rsidP="0046523B">
      <w:pPr>
        <w:spacing w:after="0" w:line="240" w:lineRule="auto"/>
        <w:rPr>
          <w:rFonts w:ascii="Times New Roman" w:hAnsi="Times New Roman" w:cs="Times New Roman"/>
          <w:color w:val="000000"/>
          <w:sz w:val="24"/>
          <w:szCs w:val="24"/>
        </w:rPr>
      </w:pPr>
    </w:p>
    <w:p w14:paraId="77642E28" w14:textId="77777777" w:rsidR="00D644AA" w:rsidRPr="00937C19" w:rsidRDefault="00D644AA" w:rsidP="0046523B">
      <w:pPr>
        <w:spacing w:after="0" w:line="240" w:lineRule="auto"/>
        <w:rPr>
          <w:rFonts w:ascii="Times New Roman" w:hAnsi="Times New Roman" w:cs="Times New Roman"/>
          <w:b/>
          <w:sz w:val="24"/>
          <w:szCs w:val="24"/>
        </w:rPr>
      </w:pPr>
      <w:r w:rsidRPr="00937C19">
        <w:rPr>
          <w:rFonts w:ascii="Times New Roman" w:hAnsi="Times New Roman" w:cs="Times New Roman"/>
          <w:b/>
          <w:sz w:val="24"/>
          <w:szCs w:val="24"/>
        </w:rPr>
        <w:br w:type="page"/>
      </w:r>
    </w:p>
    <w:p w14:paraId="594BAEAA" w14:textId="77777777" w:rsidR="00D644AA" w:rsidRPr="00937C19" w:rsidRDefault="00D644AA" w:rsidP="0046523B">
      <w:pPr>
        <w:spacing w:after="0" w:line="240" w:lineRule="auto"/>
        <w:jc w:val="center"/>
        <w:rPr>
          <w:rFonts w:ascii="Times New Roman" w:hAnsi="Times New Roman" w:cs="Times New Roman"/>
          <w:b/>
          <w:sz w:val="24"/>
          <w:szCs w:val="24"/>
        </w:rPr>
        <w:sectPr w:rsidR="00D644AA" w:rsidRPr="00937C19" w:rsidSect="00D644AA">
          <w:headerReference w:type="default" r:id="rId9"/>
          <w:footerReference w:type="even" r:id="rId10"/>
          <w:footerReference w:type="default" r:id="rId11"/>
          <w:pgSz w:w="11906" w:h="16838"/>
          <w:pgMar w:top="1134" w:right="567" w:bottom="1135" w:left="1701" w:header="567" w:footer="567" w:gutter="0"/>
          <w:cols w:space="720"/>
          <w:docGrid w:linePitch="299"/>
        </w:sectPr>
      </w:pPr>
    </w:p>
    <w:p w14:paraId="30F07767" w14:textId="77777777" w:rsidR="004D154D" w:rsidRPr="00636A1A" w:rsidRDefault="004D154D" w:rsidP="0046523B">
      <w:pPr>
        <w:spacing w:after="0" w:line="240" w:lineRule="auto"/>
        <w:jc w:val="center"/>
        <w:rPr>
          <w:rFonts w:ascii="Times New Roman" w:eastAsiaTheme="minorHAnsi" w:hAnsi="Times New Roman" w:cs="Times New Roman"/>
          <w:b/>
          <w:bCs/>
          <w:color w:val="000000"/>
          <w:sz w:val="24"/>
          <w:szCs w:val="24"/>
        </w:rPr>
      </w:pPr>
      <w:r w:rsidRPr="00636A1A">
        <w:rPr>
          <w:rFonts w:ascii="Times New Roman" w:eastAsiaTheme="minorHAnsi" w:hAnsi="Times New Roman" w:cs="Times New Roman"/>
          <w:b/>
          <w:bCs/>
          <w:color w:val="000000"/>
          <w:sz w:val="24"/>
          <w:szCs w:val="24"/>
        </w:rPr>
        <w:lastRenderedPageBreak/>
        <w:t>2. PROGRAMOS TURINYS</w:t>
      </w:r>
    </w:p>
    <w:p w14:paraId="14217BDE" w14:textId="77777777" w:rsidR="004D154D" w:rsidRPr="00636A1A" w:rsidRDefault="004D154D" w:rsidP="0046523B">
      <w:pPr>
        <w:spacing w:after="0" w:line="240" w:lineRule="auto"/>
        <w:jc w:val="center"/>
        <w:rPr>
          <w:rFonts w:ascii="Times New Roman" w:eastAsiaTheme="minorHAnsi" w:hAnsi="Times New Roman" w:cs="Times New Roman"/>
          <w:b/>
          <w:sz w:val="28"/>
          <w:szCs w:val="28"/>
        </w:rPr>
      </w:pPr>
    </w:p>
    <w:tbl>
      <w:tblPr>
        <w:tblW w:w="501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5"/>
        <w:gridCol w:w="1171"/>
        <w:gridCol w:w="2610"/>
        <w:gridCol w:w="4539"/>
        <w:gridCol w:w="1432"/>
        <w:gridCol w:w="1379"/>
        <w:gridCol w:w="1420"/>
        <w:gridCol w:w="853"/>
      </w:tblGrid>
      <w:tr w:rsidR="004D154D" w:rsidRPr="00636A1A" w14:paraId="34AA7D2D" w14:textId="77777777" w:rsidTr="00590FFA">
        <w:trPr>
          <w:trHeight w:val="40"/>
        </w:trPr>
        <w:tc>
          <w:tcPr>
            <w:tcW w:w="742" w:type="pct"/>
            <w:vMerge w:val="restart"/>
          </w:tcPr>
          <w:p w14:paraId="6399B822" w14:textId="77777777" w:rsidR="004D154D" w:rsidRPr="00636A1A" w:rsidRDefault="004D154D" w:rsidP="0046523B">
            <w:pPr>
              <w:spacing w:after="0" w:line="240" w:lineRule="auto"/>
              <w:jc w:val="center"/>
              <w:rPr>
                <w:rFonts w:ascii="Times New Roman" w:eastAsiaTheme="minorHAnsi" w:hAnsi="Times New Roman" w:cs="Times New Roman"/>
                <w:b/>
                <w:color w:val="000000"/>
                <w:sz w:val="24"/>
                <w:szCs w:val="24"/>
              </w:rPr>
            </w:pPr>
            <w:r w:rsidRPr="00636A1A">
              <w:rPr>
                <w:rFonts w:ascii="Times New Roman" w:eastAsiaTheme="minorHAnsi" w:hAnsi="Times New Roman" w:cs="Times New Roman"/>
                <w:b/>
                <w:color w:val="000000"/>
                <w:sz w:val="24"/>
                <w:szCs w:val="24"/>
              </w:rPr>
              <w:t>Modulio pavadinimas (valstybinis kodas</w:t>
            </w:r>
            <w:r w:rsidRPr="00636A1A">
              <w:rPr>
                <w:rFonts w:ascii="Times New Roman" w:eastAsiaTheme="minorHAnsi" w:hAnsi="Times New Roman" w:cs="Times New Roman"/>
                <w:b/>
                <w:color w:val="000000"/>
                <w:sz w:val="24"/>
                <w:szCs w:val="24"/>
                <w:vertAlign w:val="superscript"/>
              </w:rPr>
              <w:footnoteReference w:id="1"/>
            </w:r>
            <w:r w:rsidRPr="00636A1A">
              <w:rPr>
                <w:rFonts w:ascii="Times New Roman" w:eastAsiaTheme="minorHAnsi" w:hAnsi="Times New Roman" w:cs="Times New Roman"/>
                <w:b/>
                <w:color w:val="000000"/>
                <w:sz w:val="24"/>
                <w:szCs w:val="24"/>
              </w:rPr>
              <w:t>)</w:t>
            </w:r>
          </w:p>
        </w:tc>
        <w:tc>
          <w:tcPr>
            <w:tcW w:w="372" w:type="pct"/>
            <w:vMerge w:val="restart"/>
          </w:tcPr>
          <w:p w14:paraId="1B39CAF1" w14:textId="77777777" w:rsidR="004D154D" w:rsidRPr="00636A1A" w:rsidRDefault="004D154D" w:rsidP="0046523B">
            <w:pPr>
              <w:spacing w:after="0" w:line="240" w:lineRule="auto"/>
              <w:jc w:val="center"/>
              <w:rPr>
                <w:rFonts w:ascii="Times New Roman" w:eastAsiaTheme="minorHAnsi" w:hAnsi="Times New Roman" w:cs="Times New Roman"/>
                <w:b/>
                <w:color w:val="000000"/>
                <w:sz w:val="24"/>
                <w:szCs w:val="24"/>
              </w:rPr>
            </w:pPr>
            <w:r w:rsidRPr="00636A1A">
              <w:rPr>
                <w:rFonts w:ascii="Times New Roman" w:eastAsiaTheme="minorHAnsi" w:hAnsi="Times New Roman" w:cs="Times New Roman"/>
                <w:b/>
                <w:color w:val="000000"/>
                <w:sz w:val="24"/>
                <w:szCs w:val="24"/>
              </w:rPr>
              <w:t>Modulio LTKS lygis</w:t>
            </w:r>
          </w:p>
        </w:tc>
        <w:tc>
          <w:tcPr>
            <w:tcW w:w="829" w:type="pct"/>
            <w:vMerge w:val="restart"/>
          </w:tcPr>
          <w:p w14:paraId="132B4A2F" w14:textId="77777777" w:rsidR="004D154D" w:rsidRPr="00636A1A" w:rsidRDefault="004D154D" w:rsidP="0046523B">
            <w:pPr>
              <w:spacing w:after="0" w:line="240" w:lineRule="auto"/>
              <w:jc w:val="center"/>
              <w:rPr>
                <w:rFonts w:ascii="Times New Roman" w:eastAsiaTheme="minorHAnsi" w:hAnsi="Times New Roman" w:cs="Times New Roman"/>
                <w:b/>
                <w:color w:val="000000"/>
                <w:sz w:val="24"/>
                <w:szCs w:val="24"/>
              </w:rPr>
            </w:pPr>
            <w:r w:rsidRPr="00636A1A">
              <w:rPr>
                <w:rFonts w:ascii="Times New Roman" w:eastAsiaTheme="minorHAnsi" w:hAnsi="Times New Roman" w:cs="Times New Roman"/>
                <w:b/>
                <w:color w:val="000000"/>
                <w:sz w:val="24"/>
                <w:szCs w:val="24"/>
              </w:rPr>
              <w:t>Kompetencija(-os)</w:t>
            </w:r>
          </w:p>
        </w:tc>
        <w:tc>
          <w:tcPr>
            <w:tcW w:w="1442" w:type="pct"/>
            <w:vMerge w:val="restart"/>
          </w:tcPr>
          <w:p w14:paraId="7EC99D40" w14:textId="77777777" w:rsidR="004D154D" w:rsidRPr="00636A1A" w:rsidRDefault="004D154D" w:rsidP="0046523B">
            <w:pPr>
              <w:spacing w:after="0" w:line="240" w:lineRule="auto"/>
              <w:jc w:val="center"/>
              <w:rPr>
                <w:rFonts w:ascii="Times New Roman" w:eastAsiaTheme="minorHAnsi" w:hAnsi="Times New Roman" w:cs="Times New Roman"/>
                <w:b/>
                <w:color w:val="000000"/>
                <w:sz w:val="24"/>
                <w:szCs w:val="24"/>
              </w:rPr>
            </w:pPr>
            <w:r w:rsidRPr="00636A1A">
              <w:rPr>
                <w:rFonts w:ascii="Times New Roman" w:eastAsiaTheme="minorHAnsi" w:hAnsi="Times New Roman" w:cs="Times New Roman"/>
                <w:b/>
                <w:color w:val="000000"/>
                <w:sz w:val="24"/>
                <w:szCs w:val="24"/>
              </w:rPr>
              <w:t>Kompetencijos(-jų) pasiekimą nurodantys mokymosi rezultatai</w:t>
            </w:r>
          </w:p>
        </w:tc>
        <w:tc>
          <w:tcPr>
            <w:tcW w:w="455" w:type="pct"/>
            <w:vMerge w:val="restart"/>
          </w:tcPr>
          <w:p w14:paraId="17A29896" w14:textId="77777777" w:rsidR="004D154D" w:rsidRPr="00636A1A" w:rsidRDefault="004D154D" w:rsidP="0046523B">
            <w:pPr>
              <w:spacing w:after="0" w:line="240" w:lineRule="auto"/>
              <w:jc w:val="center"/>
              <w:rPr>
                <w:rFonts w:ascii="Times New Roman" w:eastAsiaTheme="minorHAnsi" w:hAnsi="Times New Roman" w:cs="Times New Roman"/>
                <w:b/>
                <w:color w:val="000000"/>
                <w:sz w:val="24"/>
                <w:szCs w:val="24"/>
              </w:rPr>
            </w:pPr>
            <w:r w:rsidRPr="00636A1A">
              <w:rPr>
                <w:rFonts w:ascii="Times New Roman" w:eastAsiaTheme="minorHAnsi" w:hAnsi="Times New Roman" w:cs="Times New Roman"/>
                <w:b/>
                <w:color w:val="000000"/>
                <w:sz w:val="24"/>
                <w:szCs w:val="24"/>
              </w:rPr>
              <w:t>Modulio apimtis mokymosi kreditais</w:t>
            </w:r>
          </w:p>
        </w:tc>
        <w:tc>
          <w:tcPr>
            <w:tcW w:w="1160" w:type="pct"/>
            <w:gridSpan w:val="3"/>
          </w:tcPr>
          <w:p w14:paraId="53C4818A" w14:textId="77777777" w:rsidR="004D154D" w:rsidRPr="00636A1A" w:rsidRDefault="004D154D" w:rsidP="0046523B">
            <w:pPr>
              <w:spacing w:after="0" w:line="240" w:lineRule="auto"/>
              <w:jc w:val="center"/>
              <w:rPr>
                <w:rFonts w:ascii="Times New Roman" w:eastAsiaTheme="minorHAnsi" w:hAnsi="Times New Roman" w:cs="Times New Roman"/>
                <w:b/>
                <w:color w:val="000000"/>
                <w:sz w:val="24"/>
                <w:szCs w:val="24"/>
              </w:rPr>
            </w:pPr>
            <w:r w:rsidRPr="00636A1A">
              <w:rPr>
                <w:rFonts w:ascii="Times New Roman" w:eastAsiaTheme="minorHAnsi" w:hAnsi="Times New Roman" w:cs="Times New Roman"/>
                <w:b/>
                <w:color w:val="000000"/>
                <w:sz w:val="24"/>
                <w:szCs w:val="24"/>
              </w:rPr>
              <w:t>Akademinės valandos kontaktiniam darbui</w:t>
            </w:r>
          </w:p>
        </w:tc>
      </w:tr>
      <w:tr w:rsidR="004D154D" w:rsidRPr="00636A1A" w14:paraId="43A111C8" w14:textId="77777777" w:rsidTr="00D66833">
        <w:trPr>
          <w:trHeight w:val="550"/>
        </w:trPr>
        <w:tc>
          <w:tcPr>
            <w:tcW w:w="742" w:type="pct"/>
            <w:vMerge/>
          </w:tcPr>
          <w:p w14:paraId="0B90EC5C" w14:textId="77777777" w:rsidR="004D154D" w:rsidRPr="00636A1A" w:rsidRDefault="004D154D" w:rsidP="0046523B">
            <w:pPr>
              <w:spacing w:after="0" w:line="240" w:lineRule="auto"/>
              <w:jc w:val="center"/>
              <w:rPr>
                <w:rFonts w:ascii="Times New Roman" w:eastAsiaTheme="minorHAnsi" w:hAnsi="Times New Roman" w:cs="Times New Roman"/>
                <w:b/>
                <w:color w:val="000000"/>
                <w:sz w:val="24"/>
                <w:szCs w:val="24"/>
              </w:rPr>
            </w:pPr>
          </w:p>
        </w:tc>
        <w:tc>
          <w:tcPr>
            <w:tcW w:w="372" w:type="pct"/>
            <w:vMerge/>
          </w:tcPr>
          <w:p w14:paraId="51C84410" w14:textId="77777777" w:rsidR="004D154D" w:rsidRPr="00636A1A" w:rsidRDefault="004D154D" w:rsidP="0046523B">
            <w:pPr>
              <w:spacing w:after="0" w:line="240" w:lineRule="auto"/>
              <w:jc w:val="center"/>
              <w:rPr>
                <w:rFonts w:ascii="Times New Roman" w:eastAsiaTheme="minorHAnsi" w:hAnsi="Times New Roman" w:cs="Times New Roman"/>
                <w:b/>
                <w:color w:val="000000"/>
                <w:sz w:val="24"/>
                <w:szCs w:val="24"/>
              </w:rPr>
            </w:pPr>
          </w:p>
        </w:tc>
        <w:tc>
          <w:tcPr>
            <w:tcW w:w="829" w:type="pct"/>
            <w:vMerge/>
          </w:tcPr>
          <w:p w14:paraId="0AE7EDF6" w14:textId="77777777" w:rsidR="004D154D" w:rsidRPr="00636A1A" w:rsidRDefault="004D154D" w:rsidP="0046523B">
            <w:pPr>
              <w:spacing w:after="0" w:line="240" w:lineRule="auto"/>
              <w:jc w:val="center"/>
              <w:rPr>
                <w:rFonts w:ascii="Times New Roman" w:eastAsiaTheme="minorHAnsi" w:hAnsi="Times New Roman" w:cs="Times New Roman"/>
                <w:b/>
                <w:color w:val="000000"/>
                <w:sz w:val="24"/>
                <w:szCs w:val="24"/>
              </w:rPr>
            </w:pPr>
          </w:p>
        </w:tc>
        <w:tc>
          <w:tcPr>
            <w:tcW w:w="1442" w:type="pct"/>
            <w:vMerge/>
          </w:tcPr>
          <w:p w14:paraId="7EA0A92A" w14:textId="77777777" w:rsidR="004D154D" w:rsidRPr="00636A1A" w:rsidRDefault="004D154D" w:rsidP="0046523B">
            <w:pPr>
              <w:spacing w:after="0" w:line="240" w:lineRule="auto"/>
              <w:jc w:val="center"/>
              <w:rPr>
                <w:rFonts w:ascii="Times New Roman" w:eastAsiaTheme="minorHAnsi" w:hAnsi="Times New Roman" w:cs="Times New Roman"/>
                <w:b/>
                <w:color w:val="000000"/>
                <w:sz w:val="24"/>
                <w:szCs w:val="24"/>
              </w:rPr>
            </w:pPr>
          </w:p>
        </w:tc>
        <w:tc>
          <w:tcPr>
            <w:tcW w:w="455" w:type="pct"/>
            <w:vMerge/>
          </w:tcPr>
          <w:p w14:paraId="7486B64D" w14:textId="77777777" w:rsidR="004D154D" w:rsidRPr="00636A1A" w:rsidRDefault="004D154D" w:rsidP="0046523B">
            <w:pPr>
              <w:spacing w:after="0" w:line="240" w:lineRule="auto"/>
              <w:jc w:val="center"/>
              <w:rPr>
                <w:rFonts w:ascii="Times New Roman" w:eastAsiaTheme="minorHAnsi" w:hAnsi="Times New Roman" w:cs="Times New Roman"/>
                <w:b/>
                <w:color w:val="000000"/>
                <w:sz w:val="24"/>
                <w:szCs w:val="24"/>
              </w:rPr>
            </w:pPr>
          </w:p>
        </w:tc>
        <w:tc>
          <w:tcPr>
            <w:tcW w:w="438" w:type="pct"/>
          </w:tcPr>
          <w:p w14:paraId="6F0CA686" w14:textId="77777777" w:rsidR="004D154D" w:rsidRPr="00636A1A" w:rsidRDefault="004D154D" w:rsidP="0046523B">
            <w:pPr>
              <w:spacing w:after="0" w:line="240" w:lineRule="auto"/>
              <w:jc w:val="center"/>
              <w:rPr>
                <w:rFonts w:ascii="Times New Roman" w:eastAsiaTheme="minorHAnsi" w:hAnsi="Times New Roman" w:cs="Times New Roman"/>
                <w:b/>
                <w:color w:val="000000"/>
                <w:sz w:val="24"/>
                <w:szCs w:val="24"/>
              </w:rPr>
            </w:pPr>
            <w:r w:rsidRPr="00636A1A">
              <w:rPr>
                <w:rFonts w:ascii="Times New Roman" w:eastAsiaTheme="minorHAnsi" w:hAnsi="Times New Roman" w:cs="Times New Roman"/>
                <w:b/>
                <w:color w:val="000000"/>
                <w:sz w:val="24"/>
                <w:szCs w:val="24"/>
              </w:rPr>
              <w:t>Teoriniam mokymui</w:t>
            </w:r>
          </w:p>
        </w:tc>
        <w:tc>
          <w:tcPr>
            <w:tcW w:w="451" w:type="pct"/>
          </w:tcPr>
          <w:p w14:paraId="535D5AF0" w14:textId="77777777" w:rsidR="004D154D" w:rsidRPr="00636A1A" w:rsidRDefault="004D154D" w:rsidP="0046523B">
            <w:pPr>
              <w:spacing w:after="0" w:line="240" w:lineRule="auto"/>
              <w:jc w:val="center"/>
              <w:rPr>
                <w:rFonts w:ascii="Times New Roman" w:eastAsiaTheme="minorHAnsi" w:hAnsi="Times New Roman" w:cs="Times New Roman"/>
                <w:b/>
                <w:color w:val="000000"/>
                <w:sz w:val="24"/>
                <w:szCs w:val="24"/>
              </w:rPr>
            </w:pPr>
            <w:r w:rsidRPr="00636A1A">
              <w:rPr>
                <w:rFonts w:ascii="Times New Roman" w:eastAsiaTheme="minorHAnsi" w:hAnsi="Times New Roman" w:cs="Times New Roman"/>
                <w:b/>
                <w:color w:val="000000"/>
                <w:sz w:val="24"/>
                <w:szCs w:val="24"/>
              </w:rPr>
              <w:t>Praktiniam mokymui</w:t>
            </w:r>
          </w:p>
        </w:tc>
        <w:tc>
          <w:tcPr>
            <w:tcW w:w="271" w:type="pct"/>
          </w:tcPr>
          <w:p w14:paraId="3F76978F" w14:textId="77777777" w:rsidR="004D154D" w:rsidRPr="00636A1A" w:rsidRDefault="004D154D" w:rsidP="0046523B">
            <w:pPr>
              <w:spacing w:after="0" w:line="240" w:lineRule="auto"/>
              <w:jc w:val="center"/>
              <w:rPr>
                <w:rFonts w:ascii="Times New Roman" w:eastAsiaTheme="minorHAnsi" w:hAnsi="Times New Roman" w:cs="Times New Roman"/>
                <w:b/>
                <w:color w:val="000000"/>
                <w:sz w:val="24"/>
                <w:szCs w:val="24"/>
              </w:rPr>
            </w:pPr>
            <w:r w:rsidRPr="00636A1A">
              <w:rPr>
                <w:rFonts w:ascii="Times New Roman" w:eastAsiaTheme="minorHAnsi" w:hAnsi="Times New Roman" w:cs="Times New Roman"/>
                <w:b/>
                <w:color w:val="000000"/>
                <w:sz w:val="24"/>
                <w:szCs w:val="24"/>
              </w:rPr>
              <w:t>Iš viso</w:t>
            </w:r>
          </w:p>
        </w:tc>
      </w:tr>
      <w:tr w:rsidR="004D154D" w:rsidRPr="00636A1A" w14:paraId="320A9186" w14:textId="77777777" w:rsidTr="00590FFA">
        <w:trPr>
          <w:trHeight w:val="40"/>
        </w:trPr>
        <w:tc>
          <w:tcPr>
            <w:tcW w:w="742" w:type="pct"/>
            <w:vMerge w:val="restart"/>
          </w:tcPr>
          <w:p w14:paraId="1533EE6A" w14:textId="77777777" w:rsidR="004D154D" w:rsidRPr="005A6844" w:rsidRDefault="004D154D" w:rsidP="0046523B">
            <w:pPr>
              <w:spacing w:after="0" w:line="240" w:lineRule="auto"/>
              <w:rPr>
                <w:rFonts w:ascii="Times New Roman" w:eastAsiaTheme="minorHAnsi" w:hAnsi="Times New Roman" w:cs="Times New Roman"/>
                <w:color w:val="000000"/>
                <w:sz w:val="24"/>
                <w:szCs w:val="24"/>
              </w:rPr>
            </w:pPr>
            <w:r w:rsidRPr="005A6844">
              <w:rPr>
                <w:rFonts w:ascii="Times New Roman" w:hAnsi="Times New Roman" w:cs="Times New Roman"/>
                <w:iCs/>
                <w:sz w:val="24"/>
                <w:szCs w:val="24"/>
              </w:rPr>
              <w:t>Asmeninių finansų valdymas</w:t>
            </w:r>
          </w:p>
        </w:tc>
        <w:tc>
          <w:tcPr>
            <w:tcW w:w="372" w:type="pct"/>
            <w:vMerge w:val="restart"/>
          </w:tcPr>
          <w:p w14:paraId="044E1A4C" w14:textId="77777777" w:rsidR="004D154D" w:rsidRPr="00636A1A" w:rsidRDefault="004D154D" w:rsidP="0046523B">
            <w:pPr>
              <w:spacing w:after="0" w:line="240" w:lineRule="auto"/>
              <w:jc w:val="center"/>
              <w:rPr>
                <w:rFonts w:ascii="Times New Roman" w:eastAsiaTheme="minorHAnsi" w:hAnsi="Times New Roman" w:cs="Times New Roman"/>
                <w:color w:val="000000"/>
                <w:sz w:val="24"/>
                <w:szCs w:val="24"/>
              </w:rPr>
            </w:pPr>
            <w:r w:rsidRPr="00636A1A">
              <w:rPr>
                <w:rFonts w:ascii="Times New Roman" w:eastAsiaTheme="minorHAnsi" w:hAnsi="Times New Roman" w:cs="Times New Roman"/>
                <w:color w:val="000000"/>
                <w:sz w:val="24"/>
                <w:szCs w:val="24"/>
              </w:rPr>
              <w:t>IV</w:t>
            </w:r>
          </w:p>
        </w:tc>
        <w:tc>
          <w:tcPr>
            <w:tcW w:w="829" w:type="pct"/>
          </w:tcPr>
          <w:p w14:paraId="43539B85" w14:textId="77777777" w:rsidR="004D154D" w:rsidRPr="005A6844" w:rsidRDefault="004D154D" w:rsidP="0046523B">
            <w:pPr>
              <w:spacing w:after="0" w:line="240" w:lineRule="auto"/>
              <w:rPr>
                <w:rFonts w:ascii="Times New Roman" w:eastAsiaTheme="minorHAnsi" w:hAnsi="Times New Roman" w:cs="Times New Roman"/>
                <w:color w:val="000000"/>
                <w:sz w:val="24"/>
                <w:szCs w:val="24"/>
              </w:rPr>
            </w:pPr>
            <w:r w:rsidRPr="005A6844">
              <w:rPr>
                <w:rFonts w:ascii="Times New Roman" w:hAnsi="Times New Roman" w:cs="Times New Roman"/>
                <w:sz w:val="24"/>
                <w:szCs w:val="24"/>
              </w:rPr>
              <w:t>Konsultuoti klientus asmeninių finansų valdymo klausimais.</w:t>
            </w:r>
          </w:p>
        </w:tc>
        <w:tc>
          <w:tcPr>
            <w:tcW w:w="1442" w:type="pct"/>
          </w:tcPr>
          <w:p w14:paraId="798202D9" w14:textId="77777777" w:rsidR="004D154D" w:rsidRPr="005A6844" w:rsidRDefault="004D154D" w:rsidP="0046523B">
            <w:pPr>
              <w:spacing w:after="0" w:line="240" w:lineRule="auto"/>
              <w:rPr>
                <w:rFonts w:ascii="Times New Roman" w:hAnsi="Times New Roman" w:cs="Times New Roman"/>
                <w:sz w:val="24"/>
                <w:szCs w:val="24"/>
              </w:rPr>
            </w:pPr>
            <w:r w:rsidRPr="005A6844">
              <w:rPr>
                <w:rFonts w:ascii="Times New Roman" w:hAnsi="Times New Roman" w:cs="Times New Roman"/>
                <w:sz w:val="24"/>
                <w:szCs w:val="24"/>
              </w:rPr>
              <w:t>Apibūdinti finansinio gyvenimo ciklo ir jo planavimo ypatumus.</w:t>
            </w:r>
          </w:p>
          <w:p w14:paraId="0BB42E41" w14:textId="77777777" w:rsidR="004D154D" w:rsidRPr="005A6844" w:rsidRDefault="004D154D" w:rsidP="0046523B">
            <w:pPr>
              <w:spacing w:after="0" w:line="240" w:lineRule="auto"/>
              <w:rPr>
                <w:rFonts w:ascii="Times New Roman" w:hAnsi="Times New Roman" w:cs="Times New Roman"/>
                <w:sz w:val="24"/>
                <w:szCs w:val="24"/>
              </w:rPr>
            </w:pPr>
            <w:r w:rsidRPr="005A6844">
              <w:rPr>
                <w:rFonts w:ascii="Times New Roman" w:hAnsi="Times New Roman" w:cs="Times New Roman"/>
                <w:sz w:val="24"/>
                <w:szCs w:val="24"/>
              </w:rPr>
              <w:t>Paaiškinti asmeninių finansų valdymo svarbą.</w:t>
            </w:r>
          </w:p>
          <w:p w14:paraId="1A5F2AFD" w14:textId="77777777" w:rsidR="004D154D" w:rsidRPr="005A6844" w:rsidRDefault="004D154D" w:rsidP="0046523B">
            <w:pPr>
              <w:spacing w:after="0" w:line="240" w:lineRule="auto"/>
              <w:rPr>
                <w:rFonts w:ascii="Times New Roman" w:hAnsi="Times New Roman" w:cs="Times New Roman"/>
                <w:sz w:val="24"/>
                <w:szCs w:val="24"/>
              </w:rPr>
            </w:pPr>
            <w:r w:rsidRPr="005A6844">
              <w:rPr>
                <w:rFonts w:ascii="Times New Roman" w:hAnsi="Times New Roman" w:cs="Times New Roman"/>
                <w:sz w:val="24"/>
                <w:szCs w:val="24"/>
              </w:rPr>
              <w:t>Analizuoti pinigų procesus ir jų paskirstymą.</w:t>
            </w:r>
          </w:p>
          <w:p w14:paraId="5000E84D" w14:textId="77777777" w:rsidR="004D154D" w:rsidRPr="005A6844" w:rsidRDefault="004D154D" w:rsidP="0046523B">
            <w:pPr>
              <w:spacing w:after="0" w:line="240" w:lineRule="auto"/>
              <w:rPr>
                <w:rFonts w:ascii="Times New Roman" w:eastAsiaTheme="minorHAnsi" w:hAnsi="Times New Roman" w:cs="Times New Roman"/>
                <w:color w:val="000000"/>
                <w:sz w:val="24"/>
                <w:szCs w:val="24"/>
              </w:rPr>
            </w:pPr>
            <w:r w:rsidRPr="005A6844">
              <w:rPr>
                <w:rFonts w:ascii="Times New Roman" w:hAnsi="Times New Roman" w:cs="Times New Roman"/>
                <w:sz w:val="24"/>
                <w:szCs w:val="24"/>
              </w:rPr>
              <w:t>Nustatyti asmeninių finansų tikslus.</w:t>
            </w:r>
          </w:p>
        </w:tc>
        <w:tc>
          <w:tcPr>
            <w:tcW w:w="455" w:type="pct"/>
            <w:vMerge w:val="restart"/>
          </w:tcPr>
          <w:p w14:paraId="4DDCBB3F" w14:textId="77777777" w:rsidR="004D154D" w:rsidRPr="001C0A34" w:rsidRDefault="004D154D" w:rsidP="0046523B">
            <w:pPr>
              <w:spacing w:after="0" w:line="240" w:lineRule="auto"/>
              <w:jc w:val="center"/>
              <w:rPr>
                <w:rFonts w:ascii="Times New Roman" w:eastAsiaTheme="minorHAnsi" w:hAnsi="Times New Roman" w:cs="Times New Roman"/>
                <w:color w:val="000000" w:themeColor="text1"/>
                <w:sz w:val="24"/>
                <w:szCs w:val="24"/>
              </w:rPr>
            </w:pPr>
            <w:r>
              <w:rPr>
                <w:rFonts w:ascii="Times New Roman" w:eastAsiaTheme="minorHAnsi" w:hAnsi="Times New Roman" w:cs="Times New Roman"/>
                <w:color w:val="000000" w:themeColor="text1"/>
                <w:sz w:val="24"/>
                <w:szCs w:val="24"/>
              </w:rPr>
              <w:t>5</w:t>
            </w:r>
          </w:p>
        </w:tc>
        <w:tc>
          <w:tcPr>
            <w:tcW w:w="438" w:type="pct"/>
            <w:vMerge w:val="restart"/>
          </w:tcPr>
          <w:p w14:paraId="28084198" w14:textId="77777777" w:rsidR="004D154D" w:rsidRPr="001C0A34" w:rsidRDefault="004D154D" w:rsidP="0046523B">
            <w:pPr>
              <w:spacing w:after="0" w:line="240" w:lineRule="auto"/>
              <w:jc w:val="center"/>
              <w:rPr>
                <w:rFonts w:ascii="Times New Roman" w:eastAsiaTheme="minorHAnsi" w:hAnsi="Times New Roman" w:cs="Times New Roman"/>
                <w:color w:val="000000" w:themeColor="text1"/>
                <w:sz w:val="24"/>
                <w:szCs w:val="24"/>
              </w:rPr>
            </w:pPr>
            <w:r>
              <w:rPr>
                <w:rFonts w:ascii="Times New Roman" w:eastAsiaTheme="minorHAnsi" w:hAnsi="Times New Roman" w:cs="Times New Roman"/>
                <w:color w:val="000000" w:themeColor="text1"/>
                <w:sz w:val="24"/>
                <w:szCs w:val="24"/>
              </w:rPr>
              <w:t>27</w:t>
            </w:r>
          </w:p>
        </w:tc>
        <w:tc>
          <w:tcPr>
            <w:tcW w:w="451" w:type="pct"/>
            <w:vMerge w:val="restart"/>
          </w:tcPr>
          <w:p w14:paraId="5FC938A9" w14:textId="77777777" w:rsidR="004D154D" w:rsidRPr="001C0A34" w:rsidRDefault="004D154D" w:rsidP="0046523B">
            <w:pPr>
              <w:spacing w:after="0" w:line="240" w:lineRule="auto"/>
              <w:jc w:val="center"/>
              <w:rPr>
                <w:rFonts w:ascii="Times New Roman" w:eastAsiaTheme="minorHAnsi" w:hAnsi="Times New Roman" w:cs="Times New Roman"/>
                <w:color w:val="000000" w:themeColor="text1"/>
                <w:sz w:val="24"/>
                <w:szCs w:val="24"/>
              </w:rPr>
            </w:pPr>
            <w:r>
              <w:rPr>
                <w:rFonts w:ascii="Times New Roman" w:eastAsiaTheme="minorHAnsi" w:hAnsi="Times New Roman" w:cs="Times New Roman"/>
                <w:color w:val="000000" w:themeColor="text1"/>
                <w:sz w:val="24"/>
                <w:szCs w:val="24"/>
              </w:rPr>
              <w:t>63</w:t>
            </w:r>
          </w:p>
        </w:tc>
        <w:tc>
          <w:tcPr>
            <w:tcW w:w="271" w:type="pct"/>
            <w:vMerge w:val="restart"/>
          </w:tcPr>
          <w:p w14:paraId="458FA06F" w14:textId="77777777" w:rsidR="004D154D" w:rsidRPr="001C0A34" w:rsidRDefault="004D154D" w:rsidP="0046523B">
            <w:pPr>
              <w:spacing w:after="0" w:line="240" w:lineRule="auto"/>
              <w:jc w:val="center"/>
              <w:rPr>
                <w:rFonts w:ascii="Times New Roman" w:eastAsiaTheme="minorHAnsi" w:hAnsi="Times New Roman" w:cs="Times New Roman"/>
                <w:color w:val="000000" w:themeColor="text1"/>
                <w:sz w:val="24"/>
                <w:szCs w:val="24"/>
              </w:rPr>
            </w:pPr>
            <w:r>
              <w:rPr>
                <w:rFonts w:ascii="Times New Roman" w:eastAsiaTheme="minorHAnsi" w:hAnsi="Times New Roman" w:cs="Times New Roman"/>
                <w:color w:val="000000" w:themeColor="text1"/>
                <w:sz w:val="24"/>
                <w:szCs w:val="24"/>
              </w:rPr>
              <w:t>90</w:t>
            </w:r>
          </w:p>
        </w:tc>
      </w:tr>
      <w:tr w:rsidR="004D154D" w:rsidRPr="00636A1A" w14:paraId="62AB04F5" w14:textId="77777777" w:rsidTr="00590FFA">
        <w:trPr>
          <w:trHeight w:val="530"/>
        </w:trPr>
        <w:tc>
          <w:tcPr>
            <w:tcW w:w="742" w:type="pct"/>
            <w:vMerge/>
          </w:tcPr>
          <w:p w14:paraId="5A7D9B4B" w14:textId="77777777" w:rsidR="004D154D" w:rsidRPr="00636A1A" w:rsidRDefault="004D154D" w:rsidP="0046523B">
            <w:pPr>
              <w:spacing w:after="0" w:line="240" w:lineRule="auto"/>
              <w:rPr>
                <w:rFonts w:ascii="Times New Roman" w:eastAsiaTheme="minorHAnsi" w:hAnsi="Times New Roman" w:cs="Times New Roman"/>
                <w:i/>
                <w:color w:val="000000"/>
                <w:sz w:val="24"/>
                <w:szCs w:val="24"/>
              </w:rPr>
            </w:pPr>
          </w:p>
        </w:tc>
        <w:tc>
          <w:tcPr>
            <w:tcW w:w="372" w:type="pct"/>
            <w:vMerge/>
          </w:tcPr>
          <w:p w14:paraId="1FBB6F61" w14:textId="77777777" w:rsidR="004D154D" w:rsidRPr="00636A1A" w:rsidRDefault="004D154D" w:rsidP="0046523B">
            <w:pPr>
              <w:spacing w:after="0" w:line="240" w:lineRule="auto"/>
              <w:jc w:val="center"/>
              <w:rPr>
                <w:rFonts w:ascii="Times New Roman" w:eastAsiaTheme="minorHAnsi" w:hAnsi="Times New Roman" w:cs="Times New Roman"/>
                <w:color w:val="000000"/>
                <w:sz w:val="24"/>
                <w:szCs w:val="24"/>
              </w:rPr>
            </w:pPr>
          </w:p>
        </w:tc>
        <w:tc>
          <w:tcPr>
            <w:tcW w:w="829" w:type="pct"/>
          </w:tcPr>
          <w:p w14:paraId="74AC9BA0" w14:textId="77777777" w:rsidR="004D154D" w:rsidRPr="005A6844" w:rsidRDefault="004D154D" w:rsidP="0046523B">
            <w:pPr>
              <w:spacing w:after="0" w:line="240" w:lineRule="auto"/>
              <w:rPr>
                <w:rFonts w:ascii="Times New Roman" w:eastAsiaTheme="minorHAnsi" w:hAnsi="Times New Roman" w:cs="Times New Roman"/>
                <w:color w:val="000000"/>
                <w:sz w:val="24"/>
                <w:szCs w:val="24"/>
              </w:rPr>
            </w:pPr>
            <w:r w:rsidRPr="005A6844">
              <w:rPr>
                <w:rFonts w:ascii="Times New Roman" w:hAnsi="Times New Roman" w:cs="Times New Roman"/>
                <w:sz w:val="24"/>
                <w:szCs w:val="24"/>
              </w:rPr>
              <w:t>Parinkti asmeninių finansų valdymo strategijas ir metodus.</w:t>
            </w:r>
          </w:p>
        </w:tc>
        <w:tc>
          <w:tcPr>
            <w:tcW w:w="1442" w:type="pct"/>
          </w:tcPr>
          <w:p w14:paraId="1CDB3C98" w14:textId="77777777" w:rsidR="004D154D" w:rsidRPr="005A6844" w:rsidRDefault="004D154D" w:rsidP="0046523B">
            <w:pPr>
              <w:pStyle w:val="Pagrindinistekstas1"/>
              <w:spacing w:line="240" w:lineRule="auto"/>
              <w:ind w:firstLine="0"/>
              <w:jc w:val="left"/>
              <w:rPr>
                <w:color w:val="auto"/>
                <w:sz w:val="24"/>
                <w:szCs w:val="24"/>
                <w:lang w:val="lt-LT"/>
              </w:rPr>
            </w:pPr>
            <w:r w:rsidRPr="005A6844">
              <w:rPr>
                <w:color w:val="auto"/>
                <w:sz w:val="24"/>
                <w:szCs w:val="24"/>
                <w:lang w:val="lt-LT"/>
              </w:rPr>
              <w:t>Paaiškinti asmeninių finansų valdymo strategijas, principus, būdus ir metodus.</w:t>
            </w:r>
          </w:p>
          <w:p w14:paraId="21B04340" w14:textId="77777777" w:rsidR="004D154D" w:rsidRPr="005A6844" w:rsidRDefault="004D154D" w:rsidP="0046523B">
            <w:pPr>
              <w:pStyle w:val="Pagrindinistekstas1"/>
              <w:spacing w:line="240" w:lineRule="auto"/>
              <w:ind w:firstLine="0"/>
              <w:jc w:val="left"/>
              <w:rPr>
                <w:color w:val="auto"/>
                <w:sz w:val="24"/>
                <w:szCs w:val="24"/>
                <w:lang w:val="lt-LT"/>
              </w:rPr>
            </w:pPr>
            <w:r w:rsidRPr="005A6844">
              <w:rPr>
                <w:color w:val="auto"/>
                <w:sz w:val="24"/>
                <w:szCs w:val="24"/>
                <w:lang w:val="lt-LT"/>
              </w:rPr>
              <w:t>Nustatyti šeimos ir asmens poreikius, vartojimo ypatumus, pagrindines namų ūkio veiklas ir alternatyvias galimybes.</w:t>
            </w:r>
          </w:p>
          <w:p w14:paraId="0210B24A" w14:textId="77777777" w:rsidR="004D154D" w:rsidRPr="005A6844" w:rsidRDefault="004D154D" w:rsidP="0046523B">
            <w:pPr>
              <w:spacing w:after="0" w:line="240" w:lineRule="auto"/>
              <w:rPr>
                <w:rFonts w:ascii="Times New Roman" w:eastAsiaTheme="minorHAnsi" w:hAnsi="Times New Roman" w:cs="Times New Roman"/>
                <w:sz w:val="24"/>
                <w:szCs w:val="24"/>
              </w:rPr>
            </w:pPr>
            <w:r w:rsidRPr="005A6844">
              <w:rPr>
                <w:rFonts w:ascii="Times New Roman" w:hAnsi="Times New Roman" w:cs="Times New Roman"/>
                <w:sz w:val="24"/>
                <w:szCs w:val="24"/>
              </w:rPr>
              <w:t>Palyginti pajamas ir išlaidas.</w:t>
            </w:r>
          </w:p>
        </w:tc>
        <w:tc>
          <w:tcPr>
            <w:tcW w:w="455" w:type="pct"/>
            <w:vMerge/>
          </w:tcPr>
          <w:p w14:paraId="559471A9" w14:textId="77777777" w:rsidR="004D154D" w:rsidRPr="00636A1A" w:rsidRDefault="004D154D" w:rsidP="0046523B">
            <w:pPr>
              <w:spacing w:after="0" w:line="240" w:lineRule="auto"/>
              <w:jc w:val="center"/>
              <w:rPr>
                <w:rFonts w:ascii="Times New Roman" w:eastAsiaTheme="minorHAnsi" w:hAnsi="Times New Roman" w:cs="Times New Roman"/>
                <w:color w:val="000000"/>
                <w:sz w:val="24"/>
                <w:szCs w:val="24"/>
              </w:rPr>
            </w:pPr>
          </w:p>
        </w:tc>
        <w:tc>
          <w:tcPr>
            <w:tcW w:w="438" w:type="pct"/>
            <w:vMerge/>
          </w:tcPr>
          <w:p w14:paraId="3AD943C1" w14:textId="77777777" w:rsidR="004D154D" w:rsidRPr="00636A1A" w:rsidRDefault="004D154D" w:rsidP="0046523B">
            <w:pPr>
              <w:spacing w:after="0" w:line="240" w:lineRule="auto"/>
              <w:jc w:val="center"/>
              <w:rPr>
                <w:rFonts w:ascii="Times New Roman" w:eastAsiaTheme="minorHAnsi" w:hAnsi="Times New Roman" w:cs="Times New Roman"/>
                <w:color w:val="000000"/>
                <w:sz w:val="24"/>
                <w:szCs w:val="24"/>
              </w:rPr>
            </w:pPr>
          </w:p>
        </w:tc>
        <w:tc>
          <w:tcPr>
            <w:tcW w:w="451" w:type="pct"/>
            <w:vMerge/>
          </w:tcPr>
          <w:p w14:paraId="3C09080C" w14:textId="77777777" w:rsidR="004D154D" w:rsidRPr="00636A1A" w:rsidRDefault="004D154D" w:rsidP="0046523B">
            <w:pPr>
              <w:spacing w:after="0" w:line="240" w:lineRule="auto"/>
              <w:jc w:val="center"/>
              <w:rPr>
                <w:rFonts w:ascii="Times New Roman" w:eastAsiaTheme="minorHAnsi" w:hAnsi="Times New Roman" w:cs="Times New Roman"/>
                <w:color w:val="000000"/>
                <w:sz w:val="24"/>
                <w:szCs w:val="24"/>
              </w:rPr>
            </w:pPr>
          </w:p>
        </w:tc>
        <w:tc>
          <w:tcPr>
            <w:tcW w:w="271" w:type="pct"/>
            <w:vMerge/>
          </w:tcPr>
          <w:p w14:paraId="41869265" w14:textId="77777777" w:rsidR="004D154D" w:rsidRPr="00636A1A" w:rsidRDefault="004D154D" w:rsidP="0046523B">
            <w:pPr>
              <w:spacing w:after="0" w:line="240" w:lineRule="auto"/>
              <w:jc w:val="center"/>
              <w:rPr>
                <w:rFonts w:ascii="Times New Roman" w:eastAsiaTheme="minorHAnsi" w:hAnsi="Times New Roman" w:cs="Times New Roman"/>
                <w:color w:val="000000"/>
                <w:sz w:val="24"/>
                <w:szCs w:val="24"/>
              </w:rPr>
            </w:pPr>
          </w:p>
        </w:tc>
      </w:tr>
      <w:tr w:rsidR="004D154D" w:rsidRPr="00636A1A" w14:paraId="0BE9785C" w14:textId="77777777" w:rsidTr="00590FFA">
        <w:trPr>
          <w:trHeight w:val="40"/>
        </w:trPr>
        <w:tc>
          <w:tcPr>
            <w:tcW w:w="742" w:type="pct"/>
            <w:vMerge/>
          </w:tcPr>
          <w:p w14:paraId="55EA03CB" w14:textId="77777777" w:rsidR="004D154D" w:rsidRPr="00636A1A" w:rsidRDefault="004D154D" w:rsidP="0046523B">
            <w:pPr>
              <w:spacing w:after="0" w:line="240" w:lineRule="auto"/>
              <w:rPr>
                <w:rFonts w:ascii="Times New Roman" w:eastAsiaTheme="minorHAnsi" w:hAnsi="Times New Roman" w:cs="Times New Roman"/>
                <w:color w:val="000000"/>
                <w:sz w:val="24"/>
                <w:szCs w:val="24"/>
              </w:rPr>
            </w:pPr>
          </w:p>
        </w:tc>
        <w:tc>
          <w:tcPr>
            <w:tcW w:w="372" w:type="pct"/>
            <w:vMerge/>
          </w:tcPr>
          <w:p w14:paraId="0DA065F4" w14:textId="77777777" w:rsidR="004D154D" w:rsidRPr="00636A1A" w:rsidRDefault="004D154D" w:rsidP="0046523B">
            <w:pPr>
              <w:spacing w:after="0" w:line="240" w:lineRule="auto"/>
              <w:jc w:val="center"/>
              <w:rPr>
                <w:rFonts w:ascii="Times New Roman" w:eastAsiaTheme="minorHAnsi" w:hAnsi="Times New Roman" w:cs="Times New Roman"/>
                <w:color w:val="000000"/>
                <w:sz w:val="24"/>
                <w:szCs w:val="24"/>
              </w:rPr>
            </w:pPr>
          </w:p>
        </w:tc>
        <w:tc>
          <w:tcPr>
            <w:tcW w:w="829" w:type="pct"/>
          </w:tcPr>
          <w:p w14:paraId="5D7407FF" w14:textId="77777777" w:rsidR="004D154D" w:rsidRPr="005A6844" w:rsidRDefault="004D154D" w:rsidP="0046523B">
            <w:pPr>
              <w:spacing w:after="0" w:line="240" w:lineRule="auto"/>
              <w:rPr>
                <w:rFonts w:ascii="Times New Roman" w:eastAsiaTheme="minorHAnsi" w:hAnsi="Times New Roman" w:cs="Times New Roman"/>
                <w:color w:val="000000"/>
                <w:sz w:val="24"/>
                <w:szCs w:val="24"/>
              </w:rPr>
            </w:pPr>
            <w:r w:rsidRPr="005A6844">
              <w:rPr>
                <w:rFonts w:ascii="Times New Roman" w:hAnsi="Times New Roman" w:cs="Times New Roman"/>
                <w:sz w:val="24"/>
                <w:szCs w:val="24"/>
              </w:rPr>
              <w:t>Konsultuoti namų ūkio biudžeto sudarymo klausimais.</w:t>
            </w:r>
          </w:p>
        </w:tc>
        <w:tc>
          <w:tcPr>
            <w:tcW w:w="1442" w:type="pct"/>
          </w:tcPr>
          <w:p w14:paraId="4763B0FB" w14:textId="77777777" w:rsidR="004D154D" w:rsidRPr="005A6844" w:rsidRDefault="004D154D" w:rsidP="0046523B">
            <w:pPr>
              <w:pStyle w:val="Pagrindinistekstas1"/>
              <w:spacing w:line="240" w:lineRule="auto"/>
              <w:ind w:firstLine="0"/>
              <w:jc w:val="left"/>
              <w:rPr>
                <w:color w:val="auto"/>
                <w:sz w:val="24"/>
                <w:szCs w:val="24"/>
                <w:lang w:val="lt-LT"/>
              </w:rPr>
            </w:pPr>
            <w:r w:rsidRPr="005A6844">
              <w:rPr>
                <w:color w:val="auto"/>
                <w:sz w:val="24"/>
                <w:szCs w:val="24"/>
                <w:lang w:val="lt-LT"/>
              </w:rPr>
              <w:t>Paaiškinti Lietuvos ir ES mokesčių si</w:t>
            </w:r>
            <w:r>
              <w:rPr>
                <w:color w:val="auto"/>
                <w:sz w:val="24"/>
                <w:szCs w:val="24"/>
                <w:lang w:val="lt-LT"/>
              </w:rPr>
              <w:t>s</w:t>
            </w:r>
            <w:r w:rsidRPr="005A6844">
              <w:rPr>
                <w:color w:val="auto"/>
                <w:sz w:val="24"/>
                <w:szCs w:val="24"/>
                <w:lang w:val="lt-LT"/>
              </w:rPr>
              <w:t>temas ir jų įtaką namų ūkio biudžetui.</w:t>
            </w:r>
          </w:p>
          <w:p w14:paraId="568963E0" w14:textId="77777777" w:rsidR="004D154D" w:rsidRPr="005A6844" w:rsidRDefault="004D154D" w:rsidP="0046523B">
            <w:pPr>
              <w:pStyle w:val="Pagrindinistekstas1"/>
              <w:spacing w:line="240" w:lineRule="auto"/>
              <w:ind w:firstLine="0"/>
              <w:jc w:val="left"/>
              <w:rPr>
                <w:color w:val="auto"/>
                <w:sz w:val="24"/>
                <w:szCs w:val="24"/>
                <w:lang w:val="lt-LT"/>
              </w:rPr>
            </w:pPr>
            <w:r w:rsidRPr="005A6844">
              <w:rPr>
                <w:color w:val="auto"/>
                <w:sz w:val="24"/>
                <w:szCs w:val="24"/>
                <w:lang w:val="lt-LT"/>
              </w:rPr>
              <w:t>Apskaičiuoti mokesčius planuojant išlaidas.</w:t>
            </w:r>
          </w:p>
          <w:p w14:paraId="6FC96848" w14:textId="77777777" w:rsidR="004D154D" w:rsidRPr="005A6844" w:rsidRDefault="004D154D" w:rsidP="0046523B">
            <w:pPr>
              <w:pStyle w:val="Pagrindinistekstas1"/>
              <w:spacing w:line="240" w:lineRule="auto"/>
              <w:ind w:firstLine="0"/>
              <w:jc w:val="left"/>
              <w:rPr>
                <w:color w:val="auto"/>
                <w:sz w:val="24"/>
                <w:szCs w:val="24"/>
                <w:lang w:val="lt-LT"/>
              </w:rPr>
            </w:pPr>
            <w:r w:rsidRPr="005A6844">
              <w:rPr>
                <w:color w:val="auto"/>
                <w:sz w:val="24"/>
                <w:szCs w:val="24"/>
                <w:lang w:val="lt-LT"/>
              </w:rPr>
              <w:t>Nustatyti tinkamus turto finansavimo šaltinius.</w:t>
            </w:r>
          </w:p>
          <w:p w14:paraId="1CB27F2E" w14:textId="77777777" w:rsidR="004D154D" w:rsidRPr="005A6844" w:rsidRDefault="004D154D" w:rsidP="0046523B">
            <w:pPr>
              <w:pStyle w:val="Pagrindinistekstas1"/>
              <w:spacing w:line="240" w:lineRule="auto"/>
              <w:ind w:firstLine="0"/>
              <w:jc w:val="left"/>
              <w:rPr>
                <w:color w:val="auto"/>
                <w:sz w:val="24"/>
                <w:szCs w:val="24"/>
                <w:lang w:val="lt-LT"/>
              </w:rPr>
            </w:pPr>
            <w:r w:rsidRPr="005A6844">
              <w:rPr>
                <w:color w:val="auto"/>
                <w:sz w:val="24"/>
                <w:szCs w:val="24"/>
                <w:lang w:val="lt-LT"/>
              </w:rPr>
              <w:t>Nustatyti taupymo įtaką asmeninių finansų valdymui.</w:t>
            </w:r>
          </w:p>
          <w:p w14:paraId="06C5C648" w14:textId="77777777" w:rsidR="004D154D" w:rsidRPr="005A6844" w:rsidRDefault="004D154D" w:rsidP="0046523B">
            <w:pPr>
              <w:spacing w:after="0" w:line="240" w:lineRule="auto"/>
              <w:rPr>
                <w:rFonts w:ascii="Times New Roman" w:eastAsiaTheme="minorHAnsi" w:hAnsi="Times New Roman" w:cs="Times New Roman"/>
                <w:color w:val="000000"/>
                <w:sz w:val="24"/>
                <w:szCs w:val="24"/>
              </w:rPr>
            </w:pPr>
            <w:r w:rsidRPr="005A6844">
              <w:rPr>
                <w:rFonts w:ascii="Times New Roman" w:hAnsi="Times New Roman" w:cs="Times New Roman"/>
                <w:sz w:val="24"/>
                <w:szCs w:val="24"/>
              </w:rPr>
              <w:t>Sudaryti namų ūkio biudžetą.</w:t>
            </w:r>
          </w:p>
        </w:tc>
        <w:tc>
          <w:tcPr>
            <w:tcW w:w="455" w:type="pct"/>
            <w:vMerge/>
          </w:tcPr>
          <w:p w14:paraId="6C545EF7" w14:textId="77777777" w:rsidR="004D154D" w:rsidRPr="001C0A34" w:rsidRDefault="004D154D" w:rsidP="0046523B">
            <w:pPr>
              <w:spacing w:after="0" w:line="240" w:lineRule="auto"/>
              <w:jc w:val="center"/>
              <w:rPr>
                <w:rFonts w:ascii="Times New Roman" w:eastAsiaTheme="minorHAnsi" w:hAnsi="Times New Roman" w:cs="Times New Roman"/>
                <w:color w:val="000000" w:themeColor="text1"/>
                <w:sz w:val="24"/>
                <w:szCs w:val="24"/>
              </w:rPr>
            </w:pPr>
          </w:p>
        </w:tc>
        <w:tc>
          <w:tcPr>
            <w:tcW w:w="438" w:type="pct"/>
            <w:vMerge/>
          </w:tcPr>
          <w:p w14:paraId="7BCC2D60" w14:textId="77777777" w:rsidR="004D154D" w:rsidRPr="001C0A34" w:rsidRDefault="004D154D" w:rsidP="0046523B">
            <w:pPr>
              <w:spacing w:after="0" w:line="240" w:lineRule="auto"/>
              <w:jc w:val="center"/>
              <w:rPr>
                <w:rFonts w:ascii="Times New Roman" w:eastAsiaTheme="minorHAnsi" w:hAnsi="Times New Roman" w:cs="Times New Roman"/>
                <w:color w:val="000000" w:themeColor="text1"/>
                <w:sz w:val="24"/>
                <w:szCs w:val="24"/>
              </w:rPr>
            </w:pPr>
          </w:p>
        </w:tc>
        <w:tc>
          <w:tcPr>
            <w:tcW w:w="451" w:type="pct"/>
            <w:vMerge/>
          </w:tcPr>
          <w:p w14:paraId="62F5C19F" w14:textId="77777777" w:rsidR="004D154D" w:rsidRPr="001C0A34" w:rsidRDefault="004D154D" w:rsidP="0046523B">
            <w:pPr>
              <w:spacing w:after="0" w:line="240" w:lineRule="auto"/>
              <w:jc w:val="center"/>
              <w:rPr>
                <w:rFonts w:ascii="Times New Roman" w:eastAsiaTheme="minorHAnsi" w:hAnsi="Times New Roman" w:cs="Times New Roman"/>
                <w:color w:val="000000" w:themeColor="text1"/>
                <w:sz w:val="24"/>
                <w:szCs w:val="24"/>
              </w:rPr>
            </w:pPr>
          </w:p>
        </w:tc>
        <w:tc>
          <w:tcPr>
            <w:tcW w:w="271" w:type="pct"/>
            <w:vMerge/>
          </w:tcPr>
          <w:p w14:paraId="0911D372" w14:textId="77777777" w:rsidR="004D154D" w:rsidRPr="001C0A34" w:rsidRDefault="004D154D" w:rsidP="0046523B">
            <w:pPr>
              <w:spacing w:after="0" w:line="240" w:lineRule="auto"/>
              <w:jc w:val="center"/>
              <w:rPr>
                <w:rFonts w:ascii="Times New Roman" w:eastAsiaTheme="minorHAnsi" w:hAnsi="Times New Roman" w:cs="Times New Roman"/>
                <w:color w:val="000000" w:themeColor="text1"/>
                <w:sz w:val="24"/>
                <w:szCs w:val="24"/>
              </w:rPr>
            </w:pPr>
          </w:p>
        </w:tc>
      </w:tr>
      <w:tr w:rsidR="004D154D" w:rsidRPr="00636A1A" w14:paraId="0640B3F2" w14:textId="77777777" w:rsidTr="00590FFA">
        <w:trPr>
          <w:trHeight w:val="40"/>
        </w:trPr>
        <w:tc>
          <w:tcPr>
            <w:tcW w:w="742" w:type="pct"/>
            <w:vMerge/>
          </w:tcPr>
          <w:p w14:paraId="16BB20E4" w14:textId="77777777" w:rsidR="004D154D" w:rsidRPr="00636A1A" w:rsidRDefault="004D154D" w:rsidP="0046523B">
            <w:pPr>
              <w:spacing w:after="0" w:line="240" w:lineRule="auto"/>
              <w:rPr>
                <w:rFonts w:ascii="Times New Roman" w:eastAsiaTheme="minorHAnsi" w:hAnsi="Times New Roman" w:cs="Times New Roman"/>
                <w:color w:val="000000"/>
                <w:sz w:val="24"/>
                <w:szCs w:val="24"/>
              </w:rPr>
            </w:pPr>
          </w:p>
        </w:tc>
        <w:tc>
          <w:tcPr>
            <w:tcW w:w="372" w:type="pct"/>
            <w:vMerge/>
          </w:tcPr>
          <w:p w14:paraId="23E97889" w14:textId="77777777" w:rsidR="004D154D" w:rsidRPr="00636A1A" w:rsidRDefault="004D154D" w:rsidP="0046523B">
            <w:pPr>
              <w:spacing w:after="0" w:line="240" w:lineRule="auto"/>
              <w:rPr>
                <w:rFonts w:ascii="Times New Roman" w:eastAsiaTheme="minorHAnsi" w:hAnsi="Times New Roman" w:cs="Times New Roman"/>
                <w:color w:val="000000"/>
                <w:sz w:val="24"/>
                <w:szCs w:val="24"/>
              </w:rPr>
            </w:pPr>
          </w:p>
        </w:tc>
        <w:tc>
          <w:tcPr>
            <w:tcW w:w="829" w:type="pct"/>
          </w:tcPr>
          <w:p w14:paraId="4EC1F1F7" w14:textId="77777777" w:rsidR="004D154D" w:rsidRPr="005A6844" w:rsidRDefault="004D154D" w:rsidP="0046523B">
            <w:pPr>
              <w:spacing w:after="0" w:line="240" w:lineRule="auto"/>
              <w:rPr>
                <w:rFonts w:ascii="Times New Roman" w:eastAsiaTheme="minorHAnsi" w:hAnsi="Times New Roman" w:cs="Times New Roman"/>
                <w:color w:val="000000"/>
                <w:sz w:val="24"/>
                <w:szCs w:val="24"/>
              </w:rPr>
            </w:pPr>
            <w:r w:rsidRPr="005A6844">
              <w:rPr>
                <w:rFonts w:ascii="Times New Roman" w:hAnsi="Times New Roman" w:cs="Times New Roman"/>
                <w:sz w:val="24"/>
                <w:szCs w:val="24"/>
              </w:rPr>
              <w:t>Įvertinti asmeninių finansų valdymo rizikas ir investavimo galimybes.</w:t>
            </w:r>
          </w:p>
        </w:tc>
        <w:tc>
          <w:tcPr>
            <w:tcW w:w="1442" w:type="pct"/>
          </w:tcPr>
          <w:p w14:paraId="38BF8383" w14:textId="49FBDA5A" w:rsidR="004D154D" w:rsidRPr="005A6844" w:rsidRDefault="004D154D" w:rsidP="0046523B">
            <w:pPr>
              <w:pStyle w:val="Pagrindinistekstas1"/>
              <w:spacing w:line="240" w:lineRule="auto"/>
              <w:ind w:firstLine="0"/>
              <w:jc w:val="left"/>
              <w:rPr>
                <w:rFonts w:eastAsiaTheme="minorHAnsi"/>
                <w:sz w:val="24"/>
                <w:szCs w:val="24"/>
              </w:rPr>
            </w:pPr>
            <w:r w:rsidRPr="005A6844">
              <w:rPr>
                <w:color w:val="auto"/>
                <w:sz w:val="24"/>
                <w:szCs w:val="24"/>
                <w:lang w:val="lt-LT"/>
              </w:rPr>
              <w:t>Parinkti alternatyvias finansines priemones investicijoms.</w:t>
            </w:r>
          </w:p>
        </w:tc>
        <w:tc>
          <w:tcPr>
            <w:tcW w:w="455" w:type="pct"/>
            <w:vMerge/>
            <w:tcBorders>
              <w:bottom w:val="single" w:sz="4" w:space="0" w:color="auto"/>
            </w:tcBorders>
          </w:tcPr>
          <w:p w14:paraId="262506F8" w14:textId="77777777" w:rsidR="004D154D" w:rsidRPr="00636A1A" w:rsidRDefault="004D154D" w:rsidP="0046523B">
            <w:pPr>
              <w:spacing w:after="0" w:line="240" w:lineRule="auto"/>
              <w:rPr>
                <w:rFonts w:ascii="Times New Roman" w:eastAsiaTheme="minorHAnsi" w:hAnsi="Times New Roman" w:cs="Times New Roman"/>
                <w:color w:val="000000"/>
                <w:sz w:val="24"/>
                <w:szCs w:val="24"/>
              </w:rPr>
            </w:pPr>
          </w:p>
        </w:tc>
        <w:tc>
          <w:tcPr>
            <w:tcW w:w="438" w:type="pct"/>
            <w:vMerge/>
          </w:tcPr>
          <w:p w14:paraId="758916E1" w14:textId="77777777" w:rsidR="004D154D" w:rsidRPr="00636A1A" w:rsidRDefault="004D154D" w:rsidP="0046523B">
            <w:pPr>
              <w:spacing w:after="0" w:line="240" w:lineRule="auto"/>
              <w:rPr>
                <w:rFonts w:ascii="Times New Roman" w:eastAsiaTheme="minorHAnsi" w:hAnsi="Times New Roman" w:cs="Times New Roman"/>
                <w:color w:val="000000"/>
                <w:sz w:val="24"/>
                <w:szCs w:val="24"/>
              </w:rPr>
            </w:pPr>
          </w:p>
        </w:tc>
        <w:tc>
          <w:tcPr>
            <w:tcW w:w="451" w:type="pct"/>
            <w:vMerge/>
          </w:tcPr>
          <w:p w14:paraId="273FBE2F" w14:textId="77777777" w:rsidR="004D154D" w:rsidRPr="00636A1A" w:rsidRDefault="004D154D" w:rsidP="0046523B">
            <w:pPr>
              <w:spacing w:after="0" w:line="240" w:lineRule="auto"/>
              <w:rPr>
                <w:rFonts w:ascii="Times New Roman" w:eastAsiaTheme="minorHAnsi" w:hAnsi="Times New Roman" w:cs="Times New Roman"/>
                <w:color w:val="000000"/>
                <w:sz w:val="24"/>
                <w:szCs w:val="24"/>
              </w:rPr>
            </w:pPr>
          </w:p>
        </w:tc>
        <w:tc>
          <w:tcPr>
            <w:tcW w:w="271" w:type="pct"/>
            <w:vMerge/>
          </w:tcPr>
          <w:p w14:paraId="536FE212" w14:textId="77777777" w:rsidR="004D154D" w:rsidRPr="00636A1A" w:rsidRDefault="004D154D" w:rsidP="0046523B">
            <w:pPr>
              <w:spacing w:after="0" w:line="240" w:lineRule="auto"/>
              <w:rPr>
                <w:rFonts w:ascii="Times New Roman" w:eastAsiaTheme="minorHAnsi" w:hAnsi="Times New Roman" w:cs="Times New Roman"/>
                <w:color w:val="000000"/>
                <w:sz w:val="24"/>
                <w:szCs w:val="24"/>
              </w:rPr>
            </w:pPr>
          </w:p>
        </w:tc>
      </w:tr>
    </w:tbl>
    <w:p w14:paraId="7B43F180" w14:textId="594A8863" w:rsidR="004D154D" w:rsidRDefault="004D154D" w:rsidP="0046523B">
      <w:pPr>
        <w:spacing w:after="0" w:line="240" w:lineRule="auto"/>
        <w:jc w:val="center"/>
        <w:rPr>
          <w:rFonts w:ascii="Times New Roman" w:eastAsiaTheme="minorHAnsi" w:hAnsi="Times New Roman" w:cs="Times New Roman"/>
          <w:b/>
          <w:bCs/>
          <w:color w:val="000000"/>
          <w:sz w:val="24"/>
          <w:szCs w:val="24"/>
        </w:rPr>
      </w:pPr>
    </w:p>
    <w:p w14:paraId="1B5F3614" w14:textId="77777777" w:rsidR="00D66833" w:rsidRPr="00636A1A" w:rsidRDefault="00D66833" w:rsidP="0046523B">
      <w:pPr>
        <w:spacing w:after="0" w:line="240" w:lineRule="auto"/>
        <w:jc w:val="center"/>
        <w:rPr>
          <w:rFonts w:ascii="Times New Roman" w:eastAsiaTheme="minorHAnsi" w:hAnsi="Times New Roman" w:cs="Times New Roman"/>
          <w:b/>
          <w:bCs/>
          <w:color w:val="000000"/>
          <w:sz w:val="24"/>
          <w:szCs w:val="24"/>
        </w:rPr>
      </w:pPr>
    </w:p>
    <w:p w14:paraId="7A53F858" w14:textId="3EE50A6D" w:rsidR="004D154D" w:rsidRPr="00636A1A" w:rsidRDefault="004D154D" w:rsidP="0046523B">
      <w:pPr>
        <w:spacing w:after="0" w:line="240" w:lineRule="auto"/>
        <w:jc w:val="center"/>
        <w:rPr>
          <w:rFonts w:ascii="Times New Roman" w:eastAsiaTheme="minorHAnsi" w:hAnsi="Times New Roman" w:cs="Times New Roman"/>
          <w:b/>
          <w:bCs/>
          <w:color w:val="000000"/>
          <w:sz w:val="24"/>
          <w:szCs w:val="24"/>
        </w:rPr>
      </w:pPr>
      <w:r w:rsidRPr="00636A1A">
        <w:rPr>
          <w:rFonts w:ascii="Times New Roman" w:eastAsiaTheme="minorHAnsi" w:hAnsi="Times New Roman" w:cs="Times New Roman"/>
          <w:b/>
          <w:bCs/>
          <w:color w:val="000000"/>
          <w:sz w:val="24"/>
          <w:szCs w:val="24"/>
        </w:rPr>
        <w:lastRenderedPageBreak/>
        <w:t>3. MODULI</w:t>
      </w:r>
      <w:r>
        <w:rPr>
          <w:rFonts w:ascii="Times New Roman" w:eastAsiaTheme="minorHAnsi" w:hAnsi="Times New Roman" w:cs="Times New Roman"/>
          <w:b/>
          <w:bCs/>
          <w:color w:val="000000"/>
          <w:sz w:val="24"/>
          <w:szCs w:val="24"/>
        </w:rPr>
        <w:t>O</w:t>
      </w:r>
      <w:r w:rsidRPr="00636A1A">
        <w:rPr>
          <w:rFonts w:ascii="Times New Roman" w:eastAsiaTheme="minorHAnsi" w:hAnsi="Times New Roman" w:cs="Times New Roman"/>
          <w:b/>
          <w:bCs/>
          <w:color w:val="000000"/>
          <w:sz w:val="24"/>
          <w:szCs w:val="24"/>
        </w:rPr>
        <w:t xml:space="preserve"> APRAŠA</w:t>
      </w:r>
      <w:r>
        <w:rPr>
          <w:rFonts w:ascii="Times New Roman" w:eastAsiaTheme="minorHAnsi" w:hAnsi="Times New Roman" w:cs="Times New Roman"/>
          <w:b/>
          <w:bCs/>
          <w:color w:val="000000"/>
          <w:sz w:val="24"/>
          <w:szCs w:val="24"/>
        </w:rPr>
        <w:t>S</w:t>
      </w:r>
    </w:p>
    <w:p w14:paraId="026B307F" w14:textId="77777777" w:rsidR="004D154D" w:rsidRPr="00636A1A" w:rsidRDefault="004D154D" w:rsidP="0046523B">
      <w:pPr>
        <w:spacing w:after="0" w:line="240" w:lineRule="auto"/>
        <w:rPr>
          <w:rFonts w:ascii="Times New Roman" w:eastAsiaTheme="minorHAnsi" w:hAnsi="Times New Roman" w:cs="Times New Roman"/>
          <w:b/>
          <w:bCs/>
          <w:color w:val="000000"/>
          <w:sz w:val="24"/>
          <w:szCs w:val="24"/>
        </w:rPr>
      </w:pPr>
    </w:p>
    <w:p w14:paraId="65303A99" w14:textId="77777777" w:rsidR="004D154D" w:rsidRPr="00636A1A" w:rsidRDefault="004D154D" w:rsidP="0046523B">
      <w:pPr>
        <w:spacing w:after="0" w:line="240" w:lineRule="auto"/>
        <w:ind w:firstLine="142"/>
        <w:rPr>
          <w:rFonts w:ascii="Times New Roman" w:eastAsiaTheme="minorHAnsi" w:hAnsi="Times New Roman" w:cs="Times New Roman"/>
          <w:b/>
          <w:bCs/>
          <w:color w:val="000000"/>
          <w:sz w:val="24"/>
          <w:szCs w:val="24"/>
        </w:rPr>
      </w:pPr>
      <w:r w:rsidRPr="00636A1A">
        <w:rPr>
          <w:rFonts w:ascii="Times New Roman" w:eastAsiaTheme="minorHAnsi" w:hAnsi="Times New Roman" w:cs="Times New Roman"/>
          <w:b/>
          <w:bCs/>
          <w:color w:val="000000"/>
          <w:sz w:val="24"/>
          <w:szCs w:val="24"/>
        </w:rPr>
        <w:t xml:space="preserve">Modulio pavadinimas – </w:t>
      </w:r>
      <w:r w:rsidRPr="00ED7892">
        <w:rPr>
          <w:rFonts w:ascii="Times New Roman" w:eastAsiaTheme="minorHAnsi" w:hAnsi="Times New Roman" w:cs="Times New Roman"/>
          <w:b/>
          <w:bCs/>
          <w:color w:val="000000"/>
          <w:sz w:val="24"/>
          <w:szCs w:val="24"/>
        </w:rPr>
        <w:t>„</w:t>
      </w:r>
      <w:r>
        <w:rPr>
          <w:rFonts w:ascii="Times New Roman" w:eastAsiaTheme="minorHAnsi" w:hAnsi="Times New Roman" w:cs="Times New Roman"/>
          <w:b/>
          <w:color w:val="000000"/>
          <w:sz w:val="24"/>
          <w:szCs w:val="24"/>
        </w:rPr>
        <w:t>Asmeninių finansų valdymas</w:t>
      </w:r>
      <w:r w:rsidRPr="00ED7892">
        <w:rPr>
          <w:rFonts w:ascii="Times New Roman" w:eastAsiaTheme="minorHAnsi" w:hAnsi="Times New Roman" w:cs="Times New Roman"/>
          <w:b/>
          <w:bCs/>
          <w:color w:val="000000"/>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99"/>
        <w:gridCol w:w="3618"/>
        <w:gridCol w:w="9187"/>
      </w:tblGrid>
      <w:tr w:rsidR="004D154D" w:rsidRPr="00636A1A" w14:paraId="57A8DE84" w14:textId="77777777" w:rsidTr="00655444">
        <w:trPr>
          <w:trHeight w:val="57"/>
          <w:jc w:val="center"/>
        </w:trPr>
        <w:tc>
          <w:tcPr>
            <w:tcW w:w="923" w:type="pct"/>
          </w:tcPr>
          <w:p w14:paraId="0644DDD9" w14:textId="77777777" w:rsidR="004D154D" w:rsidRPr="00636A1A" w:rsidRDefault="004D154D" w:rsidP="0046523B">
            <w:pPr>
              <w:spacing w:after="0" w:line="240" w:lineRule="auto"/>
              <w:rPr>
                <w:rFonts w:ascii="Times New Roman" w:eastAsiaTheme="minorHAnsi" w:hAnsi="Times New Roman" w:cs="Times New Roman"/>
                <w:color w:val="000000"/>
                <w:sz w:val="24"/>
                <w:szCs w:val="24"/>
              </w:rPr>
            </w:pPr>
            <w:r w:rsidRPr="00636A1A">
              <w:rPr>
                <w:rFonts w:ascii="Times New Roman" w:eastAsiaTheme="minorHAnsi" w:hAnsi="Times New Roman" w:cs="Times New Roman"/>
                <w:color w:val="000000"/>
                <w:sz w:val="24"/>
                <w:szCs w:val="24"/>
              </w:rPr>
              <w:t>Valstybinis kodas</w:t>
            </w:r>
            <w:r w:rsidRPr="00636A1A">
              <w:rPr>
                <w:rFonts w:ascii="Times New Roman" w:eastAsiaTheme="minorHAnsi" w:hAnsi="Times New Roman" w:cs="Times New Roman"/>
                <w:color w:val="000000"/>
                <w:sz w:val="24"/>
                <w:szCs w:val="24"/>
                <w:vertAlign w:val="superscript"/>
              </w:rPr>
              <w:footnoteReference w:id="2"/>
            </w:r>
          </w:p>
        </w:tc>
        <w:tc>
          <w:tcPr>
            <w:tcW w:w="4077" w:type="pct"/>
            <w:gridSpan w:val="2"/>
            <w:shd w:val="clear" w:color="auto" w:fill="auto"/>
          </w:tcPr>
          <w:p w14:paraId="1AFF8548" w14:textId="77777777" w:rsidR="004D154D" w:rsidRPr="00636A1A" w:rsidRDefault="004D154D" w:rsidP="0046523B">
            <w:pPr>
              <w:spacing w:after="0" w:line="240" w:lineRule="auto"/>
              <w:rPr>
                <w:rFonts w:ascii="Times New Roman" w:eastAsiaTheme="minorHAnsi" w:hAnsi="Times New Roman" w:cs="Times New Roman"/>
                <w:color w:val="000000"/>
                <w:sz w:val="24"/>
                <w:szCs w:val="24"/>
              </w:rPr>
            </w:pPr>
          </w:p>
        </w:tc>
      </w:tr>
      <w:tr w:rsidR="004D154D" w:rsidRPr="00636A1A" w14:paraId="10A03FC1" w14:textId="77777777" w:rsidTr="00655444">
        <w:trPr>
          <w:trHeight w:val="57"/>
          <w:jc w:val="center"/>
        </w:trPr>
        <w:tc>
          <w:tcPr>
            <w:tcW w:w="923" w:type="pct"/>
          </w:tcPr>
          <w:p w14:paraId="046D531C" w14:textId="77777777" w:rsidR="004D154D" w:rsidRPr="00636A1A" w:rsidRDefault="004D154D" w:rsidP="0046523B">
            <w:pPr>
              <w:spacing w:after="0" w:line="240" w:lineRule="auto"/>
              <w:rPr>
                <w:rFonts w:ascii="Times New Roman" w:eastAsiaTheme="minorHAnsi" w:hAnsi="Times New Roman" w:cs="Times New Roman"/>
                <w:color w:val="000000"/>
                <w:sz w:val="24"/>
                <w:szCs w:val="24"/>
              </w:rPr>
            </w:pPr>
            <w:r w:rsidRPr="00636A1A">
              <w:rPr>
                <w:rFonts w:ascii="Times New Roman" w:eastAsiaTheme="minorHAnsi" w:hAnsi="Times New Roman" w:cs="Times New Roman"/>
                <w:color w:val="000000"/>
                <w:sz w:val="24"/>
                <w:szCs w:val="24"/>
              </w:rPr>
              <w:t>Modulio LTKS lygis</w:t>
            </w:r>
          </w:p>
        </w:tc>
        <w:tc>
          <w:tcPr>
            <w:tcW w:w="4077" w:type="pct"/>
            <w:gridSpan w:val="2"/>
          </w:tcPr>
          <w:p w14:paraId="711A14E3" w14:textId="77777777" w:rsidR="004D154D" w:rsidRPr="00636A1A" w:rsidRDefault="004D154D" w:rsidP="0046523B">
            <w:pPr>
              <w:spacing w:after="0" w:line="240" w:lineRule="auto"/>
              <w:rPr>
                <w:rFonts w:ascii="Times New Roman" w:eastAsiaTheme="minorHAnsi" w:hAnsi="Times New Roman" w:cs="Times New Roman"/>
                <w:color w:val="000000"/>
                <w:sz w:val="24"/>
                <w:szCs w:val="24"/>
              </w:rPr>
            </w:pPr>
            <w:r w:rsidRPr="00636A1A">
              <w:rPr>
                <w:rFonts w:ascii="Times New Roman" w:eastAsiaTheme="minorHAnsi" w:hAnsi="Times New Roman" w:cs="Times New Roman"/>
                <w:color w:val="000000"/>
                <w:sz w:val="24"/>
                <w:szCs w:val="24"/>
              </w:rPr>
              <w:t>IV</w:t>
            </w:r>
          </w:p>
        </w:tc>
      </w:tr>
      <w:tr w:rsidR="004D154D" w:rsidRPr="00636A1A" w14:paraId="428BF6F6" w14:textId="77777777" w:rsidTr="00655444">
        <w:trPr>
          <w:trHeight w:val="57"/>
          <w:jc w:val="center"/>
        </w:trPr>
        <w:tc>
          <w:tcPr>
            <w:tcW w:w="923" w:type="pct"/>
          </w:tcPr>
          <w:p w14:paraId="6EBA892E" w14:textId="77777777" w:rsidR="004D154D" w:rsidRPr="00636A1A" w:rsidRDefault="004D154D" w:rsidP="0046523B">
            <w:pPr>
              <w:spacing w:after="0" w:line="240" w:lineRule="auto"/>
              <w:rPr>
                <w:rFonts w:ascii="Times New Roman" w:eastAsiaTheme="minorHAnsi" w:hAnsi="Times New Roman" w:cs="Times New Roman"/>
                <w:color w:val="000000"/>
                <w:sz w:val="24"/>
                <w:szCs w:val="24"/>
              </w:rPr>
            </w:pPr>
            <w:r w:rsidRPr="00636A1A">
              <w:rPr>
                <w:rFonts w:ascii="Times New Roman" w:eastAsiaTheme="minorHAnsi" w:hAnsi="Times New Roman" w:cs="Times New Roman"/>
                <w:color w:val="000000"/>
                <w:sz w:val="24"/>
                <w:szCs w:val="24"/>
              </w:rPr>
              <w:t>Apimtis mokymosi kreditais</w:t>
            </w:r>
          </w:p>
        </w:tc>
        <w:tc>
          <w:tcPr>
            <w:tcW w:w="4077" w:type="pct"/>
            <w:gridSpan w:val="2"/>
          </w:tcPr>
          <w:p w14:paraId="052DA127" w14:textId="77777777" w:rsidR="004D154D" w:rsidRPr="00636A1A" w:rsidRDefault="004D154D" w:rsidP="0046523B">
            <w:pPr>
              <w:spacing w:after="0" w:line="240" w:lineRule="auto"/>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5</w:t>
            </w:r>
            <w:r w:rsidRPr="00636A1A">
              <w:rPr>
                <w:rFonts w:ascii="Times New Roman" w:eastAsiaTheme="minorHAnsi" w:hAnsi="Times New Roman" w:cs="Times New Roman"/>
                <w:color w:val="000000"/>
                <w:sz w:val="24"/>
                <w:szCs w:val="24"/>
              </w:rPr>
              <w:t xml:space="preserve"> </w:t>
            </w:r>
          </w:p>
        </w:tc>
      </w:tr>
      <w:tr w:rsidR="004D154D" w:rsidRPr="00636A1A" w14:paraId="5B4F5EF8" w14:textId="77777777" w:rsidTr="00655444">
        <w:trPr>
          <w:trHeight w:val="57"/>
          <w:jc w:val="center"/>
        </w:trPr>
        <w:tc>
          <w:tcPr>
            <w:tcW w:w="923" w:type="pct"/>
          </w:tcPr>
          <w:p w14:paraId="0E8E1223" w14:textId="77777777" w:rsidR="004D154D" w:rsidRPr="00636A1A" w:rsidRDefault="004D154D" w:rsidP="0046523B">
            <w:pPr>
              <w:spacing w:after="0" w:line="240" w:lineRule="auto"/>
              <w:rPr>
                <w:rFonts w:ascii="Times New Roman" w:eastAsiaTheme="minorHAnsi" w:hAnsi="Times New Roman" w:cs="Times New Roman"/>
                <w:color w:val="000000"/>
                <w:sz w:val="24"/>
                <w:szCs w:val="24"/>
              </w:rPr>
            </w:pPr>
            <w:r w:rsidRPr="00636A1A">
              <w:rPr>
                <w:rFonts w:ascii="Times New Roman" w:eastAsiaTheme="minorHAnsi" w:hAnsi="Times New Roman" w:cs="Times New Roman"/>
                <w:color w:val="000000"/>
                <w:sz w:val="24"/>
                <w:szCs w:val="24"/>
              </w:rPr>
              <w:t>Asmens pasirengimo mokytis modulyje reikalavimai (jei taikoma)</w:t>
            </w:r>
          </w:p>
        </w:tc>
        <w:tc>
          <w:tcPr>
            <w:tcW w:w="4077" w:type="pct"/>
            <w:gridSpan w:val="2"/>
          </w:tcPr>
          <w:p w14:paraId="7B5A893A" w14:textId="77777777" w:rsidR="004D154D" w:rsidRPr="00636A1A" w:rsidRDefault="004D154D" w:rsidP="0046523B">
            <w:pPr>
              <w:spacing w:after="0" w:line="240" w:lineRule="auto"/>
              <w:rPr>
                <w:rFonts w:ascii="Times New Roman" w:eastAsiaTheme="minorHAnsi" w:hAnsi="Times New Roman" w:cs="Times New Roman"/>
                <w:color w:val="000000"/>
                <w:sz w:val="24"/>
                <w:szCs w:val="24"/>
                <w:highlight w:val="yellow"/>
              </w:rPr>
            </w:pPr>
            <w:r w:rsidRPr="00636A1A">
              <w:rPr>
                <w:rFonts w:ascii="Times New Roman" w:eastAsiaTheme="minorHAnsi" w:hAnsi="Times New Roman" w:cs="Times New Roman"/>
                <w:color w:val="000000"/>
                <w:sz w:val="24"/>
                <w:szCs w:val="24"/>
              </w:rPr>
              <w:t>Netaikoma</w:t>
            </w:r>
          </w:p>
        </w:tc>
      </w:tr>
      <w:tr w:rsidR="00AF6128" w:rsidRPr="00636A1A" w14:paraId="762093E7" w14:textId="77777777" w:rsidTr="00597558">
        <w:trPr>
          <w:trHeight w:val="565"/>
          <w:jc w:val="center"/>
        </w:trPr>
        <w:tc>
          <w:tcPr>
            <w:tcW w:w="923" w:type="pct"/>
            <w:shd w:val="clear" w:color="auto" w:fill="F2F2F2"/>
          </w:tcPr>
          <w:p w14:paraId="0EFB3553" w14:textId="77777777" w:rsidR="00AF6128" w:rsidRPr="00636A1A" w:rsidRDefault="00AF6128" w:rsidP="0046523B">
            <w:pPr>
              <w:spacing w:after="0" w:line="240" w:lineRule="auto"/>
              <w:jc w:val="center"/>
              <w:rPr>
                <w:rFonts w:ascii="Times New Roman" w:eastAsiaTheme="minorHAnsi" w:hAnsi="Times New Roman" w:cs="Times New Roman"/>
                <w:color w:val="000000"/>
                <w:sz w:val="24"/>
                <w:szCs w:val="24"/>
              </w:rPr>
            </w:pPr>
            <w:r w:rsidRPr="00636A1A">
              <w:rPr>
                <w:rFonts w:ascii="Times New Roman" w:eastAsiaTheme="minorHAnsi" w:hAnsi="Times New Roman" w:cs="Times New Roman"/>
                <w:color w:val="000000"/>
                <w:sz w:val="24"/>
                <w:szCs w:val="24"/>
              </w:rPr>
              <w:t>Kompetencijos</w:t>
            </w:r>
          </w:p>
        </w:tc>
        <w:tc>
          <w:tcPr>
            <w:tcW w:w="1152" w:type="pct"/>
            <w:shd w:val="clear" w:color="auto" w:fill="F2F2F2"/>
          </w:tcPr>
          <w:p w14:paraId="563973D6" w14:textId="77777777" w:rsidR="00AF6128" w:rsidRPr="00636A1A" w:rsidRDefault="00AF6128" w:rsidP="0046523B">
            <w:pPr>
              <w:spacing w:after="0" w:line="240" w:lineRule="auto"/>
              <w:jc w:val="center"/>
              <w:rPr>
                <w:rFonts w:ascii="Times New Roman" w:eastAsiaTheme="minorHAnsi" w:hAnsi="Times New Roman" w:cs="Times New Roman"/>
                <w:color w:val="000000"/>
                <w:sz w:val="24"/>
                <w:szCs w:val="24"/>
              </w:rPr>
            </w:pPr>
            <w:r w:rsidRPr="00636A1A">
              <w:rPr>
                <w:rFonts w:ascii="Times New Roman" w:eastAsiaTheme="minorHAnsi" w:hAnsi="Times New Roman" w:cs="Times New Roman"/>
                <w:color w:val="000000"/>
                <w:sz w:val="24"/>
                <w:szCs w:val="24"/>
              </w:rPr>
              <w:t>Mokymosi rezultatai</w:t>
            </w:r>
          </w:p>
        </w:tc>
        <w:tc>
          <w:tcPr>
            <w:tcW w:w="2925" w:type="pct"/>
            <w:shd w:val="clear" w:color="auto" w:fill="F2F2F2"/>
          </w:tcPr>
          <w:p w14:paraId="13246417" w14:textId="7B51FE77" w:rsidR="00AF6128" w:rsidRPr="00636A1A" w:rsidRDefault="00AF6128" w:rsidP="0046523B">
            <w:pPr>
              <w:spacing w:after="0" w:line="240" w:lineRule="auto"/>
              <w:jc w:val="center"/>
              <w:rPr>
                <w:rFonts w:ascii="Times New Roman" w:eastAsiaTheme="minorHAnsi" w:hAnsi="Times New Roman" w:cs="Times New Roman"/>
                <w:color w:val="000000"/>
                <w:sz w:val="24"/>
                <w:szCs w:val="24"/>
              </w:rPr>
            </w:pPr>
            <w:r w:rsidRPr="00636A1A">
              <w:rPr>
                <w:rFonts w:ascii="Times New Roman" w:eastAsiaTheme="minorHAnsi" w:hAnsi="Times New Roman" w:cs="Times New Roman"/>
                <w:color w:val="000000"/>
                <w:sz w:val="24"/>
                <w:szCs w:val="24"/>
              </w:rPr>
              <w:t>Rekomenduojamas turinys mokymosi rezultatams pasiekti</w:t>
            </w:r>
          </w:p>
        </w:tc>
      </w:tr>
      <w:tr w:rsidR="00AF6128" w:rsidRPr="00636A1A" w14:paraId="55432476" w14:textId="77777777" w:rsidTr="00DA1D45">
        <w:trPr>
          <w:trHeight w:val="722"/>
          <w:jc w:val="center"/>
        </w:trPr>
        <w:tc>
          <w:tcPr>
            <w:tcW w:w="923" w:type="pct"/>
            <w:vMerge w:val="restart"/>
          </w:tcPr>
          <w:p w14:paraId="59C1FD7C" w14:textId="77777777" w:rsidR="00AF6128" w:rsidRPr="00636A1A" w:rsidRDefault="00AF6128" w:rsidP="0046523B">
            <w:pPr>
              <w:spacing w:after="0" w:line="240" w:lineRule="auto"/>
              <w:rPr>
                <w:rFonts w:ascii="Times New Roman" w:eastAsiaTheme="minorHAnsi" w:hAnsi="Times New Roman" w:cs="Times New Roman"/>
                <w:color w:val="000000"/>
                <w:sz w:val="24"/>
                <w:szCs w:val="24"/>
              </w:rPr>
            </w:pPr>
            <w:r w:rsidRPr="00636A1A">
              <w:rPr>
                <w:rFonts w:ascii="Times New Roman" w:eastAsiaTheme="minorHAnsi" w:hAnsi="Times New Roman" w:cs="Times New Roman"/>
                <w:color w:val="000000"/>
                <w:sz w:val="24"/>
                <w:szCs w:val="24"/>
              </w:rPr>
              <w:t xml:space="preserve">1. </w:t>
            </w:r>
            <w:r w:rsidRPr="005A6844">
              <w:rPr>
                <w:rFonts w:ascii="Times New Roman" w:hAnsi="Times New Roman" w:cs="Times New Roman"/>
                <w:sz w:val="24"/>
                <w:szCs w:val="24"/>
              </w:rPr>
              <w:t>Konsultuoti klientus asmeninių finansų valdymo klausimais.</w:t>
            </w:r>
          </w:p>
        </w:tc>
        <w:tc>
          <w:tcPr>
            <w:tcW w:w="1152" w:type="pct"/>
          </w:tcPr>
          <w:p w14:paraId="022658B7" w14:textId="77777777" w:rsidR="00AF6128" w:rsidRPr="009B3D50" w:rsidRDefault="00AF6128" w:rsidP="0046523B">
            <w:pPr>
              <w:spacing w:after="0" w:line="240" w:lineRule="auto"/>
              <w:rPr>
                <w:rFonts w:ascii="Times New Roman" w:eastAsiaTheme="minorHAnsi" w:hAnsi="Times New Roman" w:cs="Times New Roman"/>
                <w:sz w:val="24"/>
                <w:szCs w:val="24"/>
              </w:rPr>
            </w:pPr>
            <w:r w:rsidRPr="009B3D50">
              <w:rPr>
                <w:rFonts w:ascii="Times New Roman" w:eastAsiaTheme="minorHAnsi" w:hAnsi="Times New Roman" w:cs="Times New Roman"/>
                <w:sz w:val="24"/>
                <w:szCs w:val="24"/>
              </w:rPr>
              <w:t>1.1. Apibūdinti finansinio gyvenimo ciklo ir jo planavimo ypatumus.</w:t>
            </w:r>
          </w:p>
        </w:tc>
        <w:tc>
          <w:tcPr>
            <w:tcW w:w="2925" w:type="pct"/>
          </w:tcPr>
          <w:p w14:paraId="1EE62022" w14:textId="77777777" w:rsidR="00AF6128" w:rsidRPr="009B3D50" w:rsidRDefault="00AF6128" w:rsidP="0046523B">
            <w:pPr>
              <w:pStyle w:val="NoSpacing"/>
              <w:widowControl w:val="0"/>
              <w:tabs>
                <w:tab w:val="left" w:pos="222"/>
              </w:tabs>
              <w:rPr>
                <w:rFonts w:eastAsiaTheme="minorHAnsi"/>
                <w:b/>
                <w:bCs/>
                <w:i/>
                <w:iCs/>
              </w:rPr>
            </w:pPr>
            <w:r w:rsidRPr="009B3D50">
              <w:rPr>
                <w:rFonts w:eastAsiaTheme="minorHAnsi"/>
                <w:b/>
                <w:bCs/>
                <w:i/>
                <w:iCs/>
              </w:rPr>
              <w:t>Tema. Finansinis gyvenimo ciklas ir jo planavimas</w:t>
            </w:r>
          </w:p>
          <w:p w14:paraId="4FEE3217" w14:textId="77777777" w:rsidR="00AF6128" w:rsidRPr="00B627BB" w:rsidRDefault="00AF6128" w:rsidP="0046523B">
            <w:pPr>
              <w:pStyle w:val="NoSpacing"/>
              <w:widowControl w:val="0"/>
              <w:numPr>
                <w:ilvl w:val="0"/>
                <w:numId w:val="7"/>
              </w:numPr>
              <w:tabs>
                <w:tab w:val="clear" w:pos="752"/>
              </w:tabs>
              <w:ind w:left="0" w:firstLine="0"/>
            </w:pPr>
            <w:r w:rsidRPr="00B627BB">
              <w:t>Gyvenimo ciklo hipotezė</w:t>
            </w:r>
          </w:p>
          <w:p w14:paraId="54517D5C" w14:textId="55D10D0B" w:rsidR="00AF6128" w:rsidRPr="00AF6128" w:rsidRDefault="00AF6128" w:rsidP="0046523B">
            <w:pPr>
              <w:pStyle w:val="NoSpacing"/>
              <w:widowControl w:val="0"/>
              <w:numPr>
                <w:ilvl w:val="0"/>
                <w:numId w:val="7"/>
              </w:numPr>
              <w:tabs>
                <w:tab w:val="clear" w:pos="752"/>
              </w:tabs>
              <w:ind w:left="0" w:firstLine="0"/>
              <w:rPr>
                <w:rFonts w:eastAsiaTheme="minorHAnsi"/>
              </w:rPr>
            </w:pPr>
            <w:r w:rsidRPr="00B627BB">
              <w:t>Gyvenimo</w:t>
            </w:r>
            <w:r w:rsidRPr="00AF6128">
              <w:rPr>
                <w:rFonts w:eastAsiaTheme="minorHAnsi"/>
              </w:rPr>
              <w:t xml:space="preserve"> ciklai</w:t>
            </w:r>
          </w:p>
        </w:tc>
      </w:tr>
      <w:tr w:rsidR="00AF6128" w:rsidRPr="00636A1A" w14:paraId="7F74BB82" w14:textId="77777777" w:rsidTr="00DA1D45">
        <w:trPr>
          <w:trHeight w:val="1401"/>
          <w:jc w:val="center"/>
        </w:trPr>
        <w:tc>
          <w:tcPr>
            <w:tcW w:w="923" w:type="pct"/>
            <w:vMerge/>
          </w:tcPr>
          <w:p w14:paraId="0BDAAE3E" w14:textId="77777777" w:rsidR="00AF6128" w:rsidRPr="00636A1A" w:rsidRDefault="00AF6128" w:rsidP="0046523B">
            <w:pPr>
              <w:spacing w:after="0" w:line="240" w:lineRule="auto"/>
              <w:rPr>
                <w:rFonts w:ascii="Times New Roman" w:eastAsiaTheme="minorHAnsi" w:hAnsi="Times New Roman" w:cs="Times New Roman"/>
                <w:color w:val="000000"/>
                <w:sz w:val="24"/>
                <w:szCs w:val="24"/>
              </w:rPr>
            </w:pPr>
          </w:p>
        </w:tc>
        <w:tc>
          <w:tcPr>
            <w:tcW w:w="1152" w:type="pct"/>
          </w:tcPr>
          <w:p w14:paraId="5F5B3F29" w14:textId="77777777" w:rsidR="00AF6128" w:rsidRPr="009B3D50" w:rsidRDefault="00AF6128" w:rsidP="0046523B">
            <w:pPr>
              <w:spacing w:after="0" w:line="240" w:lineRule="auto"/>
              <w:rPr>
                <w:rFonts w:ascii="Times New Roman" w:eastAsiaTheme="minorHAnsi" w:hAnsi="Times New Roman" w:cs="Times New Roman"/>
                <w:b/>
                <w:i/>
                <w:sz w:val="24"/>
                <w:szCs w:val="24"/>
              </w:rPr>
            </w:pPr>
            <w:r w:rsidRPr="009B3D50">
              <w:rPr>
                <w:rFonts w:ascii="Times New Roman" w:eastAsiaTheme="minorHAnsi" w:hAnsi="Times New Roman" w:cs="Times New Roman"/>
                <w:sz w:val="24"/>
                <w:szCs w:val="24"/>
              </w:rPr>
              <w:t>1.2. Paaiškinti asmeninių finansų valdymo svarbą.</w:t>
            </w:r>
          </w:p>
        </w:tc>
        <w:tc>
          <w:tcPr>
            <w:tcW w:w="2925" w:type="pct"/>
          </w:tcPr>
          <w:p w14:paraId="3A6464C0" w14:textId="77777777" w:rsidR="00AF6128" w:rsidRPr="009B3D50" w:rsidRDefault="00AF6128" w:rsidP="0046523B">
            <w:pPr>
              <w:pStyle w:val="NoSpacing"/>
              <w:widowControl w:val="0"/>
              <w:tabs>
                <w:tab w:val="left" w:pos="222"/>
              </w:tabs>
              <w:rPr>
                <w:rFonts w:eastAsiaTheme="minorHAnsi"/>
                <w:b/>
                <w:bCs/>
                <w:i/>
              </w:rPr>
            </w:pPr>
            <w:r w:rsidRPr="009B3D50">
              <w:rPr>
                <w:rFonts w:eastAsiaTheme="minorHAnsi"/>
                <w:b/>
                <w:bCs/>
                <w:i/>
              </w:rPr>
              <w:t>Tema. Asmeninių finansų valdymo svarba</w:t>
            </w:r>
          </w:p>
          <w:p w14:paraId="3879F829" w14:textId="77777777" w:rsidR="00AF6128" w:rsidRPr="00B627BB" w:rsidRDefault="00AF6128" w:rsidP="0046523B">
            <w:pPr>
              <w:pStyle w:val="NoSpacing"/>
              <w:widowControl w:val="0"/>
              <w:numPr>
                <w:ilvl w:val="0"/>
                <w:numId w:val="7"/>
              </w:numPr>
              <w:tabs>
                <w:tab w:val="clear" w:pos="752"/>
              </w:tabs>
              <w:ind w:left="0" w:firstLine="0"/>
            </w:pPr>
            <w:r w:rsidRPr="00B627BB">
              <w:t>Asmeninių finansų samprata</w:t>
            </w:r>
          </w:p>
          <w:p w14:paraId="3A3211A4" w14:textId="77777777" w:rsidR="00AF6128" w:rsidRPr="00B627BB" w:rsidRDefault="00AF6128" w:rsidP="0046523B">
            <w:pPr>
              <w:pStyle w:val="NoSpacing"/>
              <w:widowControl w:val="0"/>
              <w:numPr>
                <w:ilvl w:val="0"/>
                <w:numId w:val="7"/>
              </w:numPr>
              <w:tabs>
                <w:tab w:val="clear" w:pos="752"/>
              </w:tabs>
              <w:ind w:left="0" w:firstLine="0"/>
            </w:pPr>
            <w:r w:rsidRPr="00B627BB">
              <w:t>Asmeninių valdymo samprata</w:t>
            </w:r>
          </w:p>
          <w:p w14:paraId="0710565E" w14:textId="77777777" w:rsidR="00AF6128" w:rsidRPr="00B627BB" w:rsidRDefault="00AF6128" w:rsidP="0046523B">
            <w:pPr>
              <w:pStyle w:val="NoSpacing"/>
              <w:widowControl w:val="0"/>
              <w:numPr>
                <w:ilvl w:val="0"/>
                <w:numId w:val="7"/>
              </w:numPr>
              <w:tabs>
                <w:tab w:val="clear" w:pos="752"/>
              </w:tabs>
              <w:ind w:left="0" w:firstLine="0"/>
            </w:pPr>
            <w:r w:rsidRPr="00B627BB">
              <w:t>Asmeninių finansų valdymo subjektai</w:t>
            </w:r>
          </w:p>
          <w:p w14:paraId="1C58384E" w14:textId="1BAAEB44" w:rsidR="00AF6128" w:rsidRPr="00AF6128" w:rsidRDefault="00AF6128" w:rsidP="0046523B">
            <w:pPr>
              <w:pStyle w:val="NoSpacing"/>
              <w:widowControl w:val="0"/>
              <w:numPr>
                <w:ilvl w:val="0"/>
                <w:numId w:val="7"/>
              </w:numPr>
              <w:tabs>
                <w:tab w:val="clear" w:pos="752"/>
              </w:tabs>
              <w:ind w:left="0" w:firstLine="0"/>
              <w:rPr>
                <w:rFonts w:eastAsiaTheme="minorHAnsi"/>
                <w:iCs/>
              </w:rPr>
            </w:pPr>
            <w:r w:rsidRPr="00B627BB">
              <w:t>Asmeninių</w:t>
            </w:r>
            <w:r w:rsidRPr="00AF6128">
              <w:rPr>
                <w:rFonts w:eastAsiaTheme="minorHAnsi"/>
                <w:iCs/>
              </w:rPr>
              <w:t xml:space="preserve"> finansų valdymo objektai</w:t>
            </w:r>
          </w:p>
        </w:tc>
      </w:tr>
      <w:tr w:rsidR="00AF6128" w:rsidRPr="00636A1A" w14:paraId="54F6ECFF" w14:textId="77777777" w:rsidTr="00597558">
        <w:trPr>
          <w:trHeight w:val="548"/>
          <w:jc w:val="center"/>
        </w:trPr>
        <w:tc>
          <w:tcPr>
            <w:tcW w:w="923" w:type="pct"/>
            <w:vMerge/>
          </w:tcPr>
          <w:p w14:paraId="3C4A7841" w14:textId="77777777" w:rsidR="00AF6128" w:rsidRPr="00636A1A" w:rsidRDefault="00AF6128" w:rsidP="0046523B">
            <w:pPr>
              <w:spacing w:after="0" w:line="240" w:lineRule="auto"/>
              <w:rPr>
                <w:rFonts w:ascii="Times New Roman" w:eastAsiaTheme="minorHAnsi" w:hAnsi="Times New Roman" w:cs="Times New Roman"/>
                <w:color w:val="000000"/>
                <w:sz w:val="24"/>
                <w:szCs w:val="24"/>
              </w:rPr>
            </w:pPr>
          </w:p>
        </w:tc>
        <w:tc>
          <w:tcPr>
            <w:tcW w:w="1152" w:type="pct"/>
          </w:tcPr>
          <w:p w14:paraId="0FF427D0" w14:textId="77777777" w:rsidR="00AF6128" w:rsidRPr="009B3D50" w:rsidRDefault="00AF6128" w:rsidP="0046523B">
            <w:pPr>
              <w:spacing w:after="0" w:line="240" w:lineRule="auto"/>
              <w:rPr>
                <w:rFonts w:ascii="Times New Roman" w:eastAsiaTheme="minorHAnsi" w:hAnsi="Times New Roman" w:cs="Times New Roman"/>
                <w:strike/>
                <w:sz w:val="24"/>
                <w:szCs w:val="24"/>
              </w:rPr>
            </w:pPr>
            <w:r w:rsidRPr="009B3D50">
              <w:rPr>
                <w:rFonts w:ascii="Times New Roman" w:eastAsiaTheme="minorHAnsi" w:hAnsi="Times New Roman" w:cs="Times New Roman"/>
                <w:sz w:val="24"/>
                <w:szCs w:val="24"/>
              </w:rPr>
              <w:t>1.3. Analizuoti pinigų procesus ir jų paskirstymą.</w:t>
            </w:r>
          </w:p>
        </w:tc>
        <w:tc>
          <w:tcPr>
            <w:tcW w:w="2925" w:type="pct"/>
          </w:tcPr>
          <w:p w14:paraId="0B531B4D" w14:textId="77777777" w:rsidR="00AF6128" w:rsidRPr="009B3D50" w:rsidRDefault="00AF6128" w:rsidP="0046523B">
            <w:pPr>
              <w:spacing w:after="0" w:line="240" w:lineRule="auto"/>
              <w:rPr>
                <w:rFonts w:ascii="Times New Roman" w:hAnsi="Times New Roman" w:cs="Times New Roman"/>
                <w:b/>
                <w:bCs/>
                <w:i/>
                <w:iCs/>
                <w:sz w:val="24"/>
                <w:szCs w:val="24"/>
                <w:lang w:eastAsia="lt-LT"/>
              </w:rPr>
            </w:pPr>
            <w:r w:rsidRPr="009B3D50">
              <w:rPr>
                <w:rFonts w:ascii="Times New Roman" w:hAnsi="Times New Roman" w:cs="Times New Roman"/>
                <w:b/>
                <w:bCs/>
                <w:i/>
                <w:iCs/>
                <w:sz w:val="24"/>
                <w:szCs w:val="24"/>
                <w:lang w:eastAsia="lt-LT"/>
              </w:rPr>
              <w:t>Tema. Kasdieniniai piniginiai atsiskaitymai ir jų tvarkymas</w:t>
            </w:r>
          </w:p>
          <w:p w14:paraId="0E4B16A4" w14:textId="77777777" w:rsidR="00AF6128" w:rsidRPr="009B3D50" w:rsidRDefault="00AF6128" w:rsidP="0046523B">
            <w:pPr>
              <w:pStyle w:val="NoSpacing"/>
              <w:widowControl w:val="0"/>
              <w:numPr>
                <w:ilvl w:val="0"/>
                <w:numId w:val="7"/>
              </w:numPr>
              <w:tabs>
                <w:tab w:val="clear" w:pos="752"/>
              </w:tabs>
              <w:ind w:left="0" w:firstLine="0"/>
            </w:pPr>
            <w:r w:rsidRPr="009B3D50">
              <w:t>Trumpalaikių ir ilgalaikių finansinių planų sudarymas ir jų įgyvendinimas</w:t>
            </w:r>
          </w:p>
          <w:p w14:paraId="65A3FFFD" w14:textId="77777777" w:rsidR="00AF6128" w:rsidRDefault="00AF6128" w:rsidP="0046523B">
            <w:pPr>
              <w:pStyle w:val="NoSpacing"/>
              <w:widowControl w:val="0"/>
              <w:numPr>
                <w:ilvl w:val="0"/>
                <w:numId w:val="7"/>
              </w:numPr>
              <w:tabs>
                <w:tab w:val="clear" w:pos="752"/>
              </w:tabs>
              <w:ind w:left="0" w:firstLine="0"/>
            </w:pPr>
            <w:r w:rsidRPr="009B3D50">
              <w:t>Apsidraudimas nuo galimų neplanuotų išlaidų ar nuostolių</w:t>
            </w:r>
          </w:p>
          <w:p w14:paraId="695DF7C3" w14:textId="11903DEA" w:rsidR="00AF6128" w:rsidRPr="00AF6128" w:rsidRDefault="00AF6128" w:rsidP="0046523B">
            <w:pPr>
              <w:pStyle w:val="NoSpacing"/>
              <w:widowControl w:val="0"/>
              <w:numPr>
                <w:ilvl w:val="0"/>
                <w:numId w:val="7"/>
              </w:numPr>
              <w:tabs>
                <w:tab w:val="clear" w:pos="752"/>
              </w:tabs>
              <w:ind w:left="0" w:firstLine="0"/>
            </w:pPr>
            <w:r w:rsidRPr="00AF6128">
              <w:t>Racionalus turimo ar sukaupto finansinio turto paskirstymas</w:t>
            </w:r>
          </w:p>
        </w:tc>
      </w:tr>
      <w:tr w:rsidR="00AF6128" w:rsidRPr="00636A1A" w14:paraId="2E45C56F" w14:textId="77777777" w:rsidTr="00597558">
        <w:trPr>
          <w:trHeight w:val="699"/>
          <w:jc w:val="center"/>
        </w:trPr>
        <w:tc>
          <w:tcPr>
            <w:tcW w:w="923" w:type="pct"/>
            <w:vMerge/>
          </w:tcPr>
          <w:p w14:paraId="1FEEE7D4" w14:textId="77777777" w:rsidR="00AF6128" w:rsidRPr="00636A1A" w:rsidRDefault="00AF6128" w:rsidP="0046523B">
            <w:pPr>
              <w:spacing w:after="0" w:line="240" w:lineRule="auto"/>
              <w:rPr>
                <w:rFonts w:ascii="Times New Roman" w:eastAsiaTheme="minorHAnsi" w:hAnsi="Times New Roman" w:cs="Times New Roman"/>
                <w:color w:val="000000"/>
                <w:sz w:val="24"/>
                <w:szCs w:val="24"/>
              </w:rPr>
            </w:pPr>
          </w:p>
        </w:tc>
        <w:tc>
          <w:tcPr>
            <w:tcW w:w="1152" w:type="pct"/>
          </w:tcPr>
          <w:p w14:paraId="2B4066CA" w14:textId="77777777" w:rsidR="00AF6128" w:rsidRPr="009B3D50" w:rsidRDefault="00AF6128" w:rsidP="0046523B">
            <w:pPr>
              <w:spacing w:after="0" w:line="240" w:lineRule="auto"/>
              <w:rPr>
                <w:rFonts w:ascii="Times New Roman" w:eastAsiaTheme="minorHAnsi" w:hAnsi="Times New Roman" w:cs="Times New Roman"/>
                <w:sz w:val="24"/>
                <w:szCs w:val="24"/>
              </w:rPr>
            </w:pPr>
            <w:r w:rsidRPr="009B3D50">
              <w:rPr>
                <w:rFonts w:ascii="Times New Roman" w:eastAsiaTheme="minorHAnsi" w:hAnsi="Times New Roman" w:cs="Times New Roman"/>
                <w:sz w:val="24"/>
                <w:szCs w:val="24"/>
              </w:rPr>
              <w:t>1.4. Nustatyti asmeninių finansų tikslus.</w:t>
            </w:r>
          </w:p>
        </w:tc>
        <w:tc>
          <w:tcPr>
            <w:tcW w:w="2925" w:type="pct"/>
          </w:tcPr>
          <w:p w14:paraId="529F2B61" w14:textId="77777777" w:rsidR="00AF6128" w:rsidRPr="009B3D50" w:rsidRDefault="00AF6128" w:rsidP="0046523B">
            <w:pPr>
              <w:pStyle w:val="NoSpacing"/>
              <w:widowControl w:val="0"/>
              <w:tabs>
                <w:tab w:val="left" w:pos="222"/>
              </w:tabs>
              <w:rPr>
                <w:rFonts w:eastAsiaTheme="minorHAnsi"/>
                <w:b/>
                <w:bCs/>
                <w:i/>
                <w:iCs/>
              </w:rPr>
            </w:pPr>
            <w:r w:rsidRPr="009B3D50">
              <w:rPr>
                <w:rFonts w:eastAsiaTheme="minorHAnsi"/>
                <w:b/>
                <w:bCs/>
                <w:i/>
                <w:iCs/>
              </w:rPr>
              <w:t>Tema. Asmeninių finansų tikslai</w:t>
            </w:r>
          </w:p>
          <w:p w14:paraId="3F501A94" w14:textId="77777777" w:rsidR="00AF6128" w:rsidRPr="00B627BB" w:rsidRDefault="00AF6128" w:rsidP="0046523B">
            <w:pPr>
              <w:pStyle w:val="NoSpacing"/>
              <w:widowControl w:val="0"/>
              <w:numPr>
                <w:ilvl w:val="0"/>
                <w:numId w:val="7"/>
              </w:numPr>
              <w:tabs>
                <w:tab w:val="clear" w:pos="752"/>
              </w:tabs>
              <w:ind w:left="0" w:firstLine="0"/>
            </w:pPr>
            <w:r w:rsidRPr="00B627BB">
              <w:t>Konkretus ir išmatuojamas tikslas</w:t>
            </w:r>
          </w:p>
          <w:p w14:paraId="7F1880A5" w14:textId="77777777" w:rsidR="00AF6128" w:rsidRPr="00B627BB" w:rsidRDefault="00AF6128" w:rsidP="0046523B">
            <w:pPr>
              <w:pStyle w:val="NoSpacing"/>
              <w:widowControl w:val="0"/>
              <w:numPr>
                <w:ilvl w:val="0"/>
                <w:numId w:val="7"/>
              </w:numPr>
              <w:tabs>
                <w:tab w:val="clear" w:pos="752"/>
              </w:tabs>
              <w:ind w:left="0" w:firstLine="0"/>
            </w:pPr>
            <w:r w:rsidRPr="00B627BB">
              <w:t>Žmogaus finansiniai siekiai</w:t>
            </w:r>
          </w:p>
          <w:p w14:paraId="43B3EFC5" w14:textId="77777777" w:rsidR="00AF6128" w:rsidRPr="00B627BB" w:rsidRDefault="00AF6128" w:rsidP="0046523B">
            <w:pPr>
              <w:pStyle w:val="NoSpacing"/>
              <w:widowControl w:val="0"/>
              <w:numPr>
                <w:ilvl w:val="0"/>
                <w:numId w:val="7"/>
              </w:numPr>
              <w:tabs>
                <w:tab w:val="clear" w:pos="752"/>
              </w:tabs>
              <w:ind w:left="0" w:firstLine="0"/>
            </w:pPr>
            <w:r w:rsidRPr="00B627BB">
              <w:t>Šeimos finansiniai siekiai</w:t>
            </w:r>
          </w:p>
          <w:p w14:paraId="6FD3E003" w14:textId="4CCBDB96" w:rsidR="00AF6128" w:rsidRPr="00AF6128" w:rsidRDefault="00AF6128" w:rsidP="0046523B">
            <w:pPr>
              <w:pStyle w:val="NoSpacing"/>
              <w:widowControl w:val="0"/>
              <w:numPr>
                <w:ilvl w:val="0"/>
                <w:numId w:val="7"/>
              </w:numPr>
              <w:tabs>
                <w:tab w:val="clear" w:pos="752"/>
              </w:tabs>
              <w:ind w:left="0" w:firstLine="0"/>
              <w:rPr>
                <w:rFonts w:eastAsiaTheme="minorHAnsi"/>
              </w:rPr>
            </w:pPr>
            <w:r w:rsidRPr="00B627BB">
              <w:t>Teisingas</w:t>
            </w:r>
            <w:r w:rsidRPr="00AF6128">
              <w:rPr>
                <w:rFonts w:eastAsiaTheme="minorHAnsi"/>
              </w:rPr>
              <w:t xml:space="preserve"> finansinio tikslo formulavimas</w:t>
            </w:r>
          </w:p>
        </w:tc>
      </w:tr>
      <w:tr w:rsidR="00AF6128" w:rsidRPr="00636A1A" w14:paraId="18167E55" w14:textId="77777777" w:rsidTr="00DA1D45">
        <w:trPr>
          <w:trHeight w:val="1696"/>
          <w:jc w:val="center"/>
        </w:trPr>
        <w:tc>
          <w:tcPr>
            <w:tcW w:w="923" w:type="pct"/>
            <w:vMerge w:val="restart"/>
          </w:tcPr>
          <w:p w14:paraId="45B3EDFE" w14:textId="77777777" w:rsidR="00AF6128" w:rsidRPr="00636A1A" w:rsidRDefault="00AF6128" w:rsidP="0046523B">
            <w:pPr>
              <w:spacing w:after="0" w:line="240" w:lineRule="auto"/>
              <w:rPr>
                <w:rFonts w:ascii="Times New Roman" w:eastAsiaTheme="minorHAnsi" w:hAnsi="Times New Roman" w:cs="Times New Roman"/>
                <w:color w:val="000000"/>
                <w:sz w:val="24"/>
                <w:szCs w:val="24"/>
              </w:rPr>
            </w:pPr>
            <w:r w:rsidRPr="00636A1A">
              <w:rPr>
                <w:rFonts w:ascii="Times New Roman" w:eastAsiaTheme="minorHAnsi" w:hAnsi="Times New Roman" w:cs="Times New Roman"/>
                <w:color w:val="000000"/>
                <w:sz w:val="24"/>
                <w:szCs w:val="24"/>
              </w:rPr>
              <w:lastRenderedPageBreak/>
              <w:t xml:space="preserve">2. </w:t>
            </w:r>
            <w:r w:rsidRPr="00ED3D08">
              <w:rPr>
                <w:rFonts w:ascii="Times New Roman" w:eastAsiaTheme="minorHAnsi" w:hAnsi="Times New Roman" w:cs="Times New Roman"/>
                <w:color w:val="000000"/>
                <w:sz w:val="24"/>
                <w:szCs w:val="24"/>
              </w:rPr>
              <w:t>Parinkti asmeninių finansų valdymo strategijas ir metodus.</w:t>
            </w:r>
          </w:p>
        </w:tc>
        <w:tc>
          <w:tcPr>
            <w:tcW w:w="1152" w:type="pct"/>
          </w:tcPr>
          <w:p w14:paraId="22BE0BBB" w14:textId="77777777" w:rsidR="00AF6128" w:rsidRPr="009B3D50" w:rsidRDefault="00AF6128" w:rsidP="0046523B">
            <w:pPr>
              <w:widowControl w:val="0"/>
              <w:spacing w:after="0" w:line="240" w:lineRule="auto"/>
              <w:rPr>
                <w:rFonts w:ascii="Times New Roman" w:eastAsiaTheme="minorHAnsi" w:hAnsi="Times New Roman" w:cs="Times New Roman"/>
                <w:sz w:val="24"/>
                <w:szCs w:val="24"/>
              </w:rPr>
            </w:pPr>
            <w:r w:rsidRPr="009B3D50">
              <w:rPr>
                <w:rFonts w:ascii="Times New Roman" w:hAnsi="Times New Roman" w:cs="Times New Roman"/>
                <w:sz w:val="24"/>
                <w:szCs w:val="24"/>
              </w:rPr>
              <w:t>2.1. Paaiškinti asmeninių finansų valdymo strategijas, principus, būdus ir metodus.</w:t>
            </w:r>
          </w:p>
        </w:tc>
        <w:tc>
          <w:tcPr>
            <w:tcW w:w="2925" w:type="pct"/>
          </w:tcPr>
          <w:p w14:paraId="72C69C43" w14:textId="77777777" w:rsidR="00AF6128" w:rsidRPr="009B3D50" w:rsidRDefault="00AF6128" w:rsidP="0046523B">
            <w:pPr>
              <w:pStyle w:val="NoSpacing"/>
              <w:widowControl w:val="0"/>
              <w:tabs>
                <w:tab w:val="left" w:pos="222"/>
              </w:tabs>
              <w:rPr>
                <w:rFonts w:eastAsiaTheme="minorHAnsi"/>
                <w:b/>
                <w:bCs/>
                <w:i/>
                <w:iCs/>
              </w:rPr>
            </w:pPr>
            <w:r w:rsidRPr="009B3D50">
              <w:rPr>
                <w:b/>
                <w:bCs/>
                <w:i/>
                <w:iCs/>
              </w:rPr>
              <w:t>Tema. Asmeninių finansų planavimas, valdymo strategijos ir principai</w:t>
            </w:r>
          </w:p>
          <w:p w14:paraId="4865B51E" w14:textId="77777777" w:rsidR="00AF6128" w:rsidRPr="00B627BB" w:rsidRDefault="00AF6128" w:rsidP="0046523B">
            <w:pPr>
              <w:pStyle w:val="NoSpacing"/>
              <w:widowControl w:val="0"/>
              <w:numPr>
                <w:ilvl w:val="0"/>
                <w:numId w:val="7"/>
              </w:numPr>
              <w:tabs>
                <w:tab w:val="clear" w:pos="752"/>
              </w:tabs>
              <w:ind w:left="0" w:firstLine="0"/>
            </w:pPr>
            <w:r w:rsidRPr="00B627BB">
              <w:t>Finansų planavimas</w:t>
            </w:r>
          </w:p>
          <w:p w14:paraId="00E226A1" w14:textId="77777777" w:rsidR="00AF6128" w:rsidRPr="00B627BB" w:rsidRDefault="00AF6128" w:rsidP="0046523B">
            <w:pPr>
              <w:pStyle w:val="NoSpacing"/>
              <w:widowControl w:val="0"/>
              <w:numPr>
                <w:ilvl w:val="0"/>
                <w:numId w:val="7"/>
              </w:numPr>
              <w:tabs>
                <w:tab w:val="clear" w:pos="752"/>
              </w:tabs>
              <w:ind w:left="0" w:firstLine="0"/>
            </w:pPr>
            <w:r w:rsidRPr="00B627BB">
              <w:t>Požiūris į planavimą</w:t>
            </w:r>
          </w:p>
          <w:p w14:paraId="7EF0A316" w14:textId="77777777" w:rsidR="00AF6128" w:rsidRPr="00B627BB" w:rsidRDefault="00AF6128" w:rsidP="0046523B">
            <w:pPr>
              <w:pStyle w:val="NoSpacing"/>
              <w:widowControl w:val="0"/>
              <w:numPr>
                <w:ilvl w:val="0"/>
                <w:numId w:val="7"/>
              </w:numPr>
              <w:tabs>
                <w:tab w:val="clear" w:pos="752"/>
              </w:tabs>
              <w:ind w:left="0" w:firstLine="0"/>
            </w:pPr>
            <w:r w:rsidRPr="00B627BB">
              <w:t>Asmeninių finansų valdymo strategijos</w:t>
            </w:r>
          </w:p>
          <w:p w14:paraId="69C67752" w14:textId="77777777" w:rsidR="00AF6128" w:rsidRPr="00B627BB" w:rsidRDefault="00AF6128" w:rsidP="0046523B">
            <w:pPr>
              <w:pStyle w:val="NoSpacing"/>
              <w:widowControl w:val="0"/>
              <w:numPr>
                <w:ilvl w:val="0"/>
                <w:numId w:val="7"/>
              </w:numPr>
              <w:tabs>
                <w:tab w:val="clear" w:pos="752"/>
              </w:tabs>
              <w:ind w:left="0" w:firstLine="0"/>
            </w:pPr>
            <w:r w:rsidRPr="00B627BB">
              <w:t>Asmeninių finansų valdymo principai</w:t>
            </w:r>
          </w:p>
          <w:p w14:paraId="7F7DCC60" w14:textId="5E832F9D" w:rsidR="00AF6128" w:rsidRPr="00AF6128" w:rsidRDefault="00AF6128" w:rsidP="0046523B">
            <w:pPr>
              <w:pStyle w:val="NoSpacing"/>
              <w:widowControl w:val="0"/>
              <w:numPr>
                <w:ilvl w:val="0"/>
                <w:numId w:val="7"/>
              </w:numPr>
              <w:tabs>
                <w:tab w:val="clear" w:pos="752"/>
              </w:tabs>
              <w:ind w:left="0" w:firstLine="0"/>
              <w:rPr>
                <w:rFonts w:eastAsiaTheme="minorHAnsi"/>
              </w:rPr>
            </w:pPr>
            <w:r w:rsidRPr="00B627BB">
              <w:t>Sėkmės</w:t>
            </w:r>
            <w:r w:rsidRPr="00AF6128">
              <w:rPr>
                <w:rFonts w:eastAsiaTheme="minorHAnsi"/>
              </w:rPr>
              <w:t xml:space="preserve"> kūrimas</w:t>
            </w:r>
          </w:p>
        </w:tc>
      </w:tr>
      <w:tr w:rsidR="00AF6128" w:rsidRPr="00636A1A" w14:paraId="0B2DCDE5" w14:textId="77777777" w:rsidTr="00DA1D45">
        <w:trPr>
          <w:trHeight w:val="3208"/>
          <w:jc w:val="center"/>
        </w:trPr>
        <w:tc>
          <w:tcPr>
            <w:tcW w:w="923" w:type="pct"/>
            <w:vMerge/>
          </w:tcPr>
          <w:p w14:paraId="31F9354F" w14:textId="77777777" w:rsidR="00AF6128" w:rsidRPr="00636A1A" w:rsidRDefault="00AF6128" w:rsidP="0046523B">
            <w:pPr>
              <w:spacing w:after="0" w:line="240" w:lineRule="auto"/>
              <w:rPr>
                <w:rFonts w:ascii="Times New Roman" w:eastAsiaTheme="minorHAnsi" w:hAnsi="Times New Roman" w:cs="Times New Roman"/>
                <w:color w:val="000000"/>
                <w:sz w:val="24"/>
                <w:szCs w:val="24"/>
              </w:rPr>
            </w:pPr>
          </w:p>
        </w:tc>
        <w:tc>
          <w:tcPr>
            <w:tcW w:w="1152" w:type="pct"/>
          </w:tcPr>
          <w:p w14:paraId="407ED48B" w14:textId="77777777" w:rsidR="00AF6128" w:rsidRPr="009B3D50" w:rsidRDefault="00AF6128" w:rsidP="0046523B">
            <w:pPr>
              <w:spacing w:after="0" w:line="240" w:lineRule="auto"/>
              <w:rPr>
                <w:rFonts w:ascii="Times New Roman" w:eastAsiaTheme="minorHAnsi" w:hAnsi="Times New Roman" w:cs="Times New Roman"/>
                <w:sz w:val="24"/>
                <w:szCs w:val="24"/>
              </w:rPr>
            </w:pPr>
            <w:r w:rsidRPr="009B3D50">
              <w:rPr>
                <w:rFonts w:ascii="Times New Roman" w:eastAsiaTheme="minorHAnsi" w:hAnsi="Times New Roman" w:cs="Times New Roman"/>
                <w:sz w:val="24"/>
                <w:szCs w:val="24"/>
              </w:rPr>
              <w:t>2.2. Nustatyti šeimos ir asmens poreikius, vartojimo ypatumus, pagrindines namų ūkio veiklas ir alternatyvias galimybes.</w:t>
            </w:r>
          </w:p>
        </w:tc>
        <w:tc>
          <w:tcPr>
            <w:tcW w:w="2925" w:type="pct"/>
          </w:tcPr>
          <w:p w14:paraId="30EF1E51" w14:textId="77777777" w:rsidR="00AF6128" w:rsidRPr="009B3D50" w:rsidRDefault="00AF6128" w:rsidP="0046523B">
            <w:pPr>
              <w:pStyle w:val="NoSpacing"/>
              <w:widowControl w:val="0"/>
              <w:tabs>
                <w:tab w:val="left" w:pos="222"/>
              </w:tabs>
              <w:rPr>
                <w:rFonts w:eastAsiaTheme="minorHAnsi"/>
                <w:b/>
                <w:bCs/>
                <w:i/>
                <w:iCs/>
              </w:rPr>
            </w:pPr>
            <w:r w:rsidRPr="009B3D50">
              <w:rPr>
                <w:rFonts w:eastAsiaTheme="minorHAnsi"/>
                <w:b/>
                <w:bCs/>
                <w:i/>
                <w:iCs/>
              </w:rPr>
              <w:t>Tema. Šeimos ir asmens poreikiai ir vartojimas</w:t>
            </w:r>
          </w:p>
          <w:p w14:paraId="606AD301" w14:textId="77777777" w:rsidR="00AF6128" w:rsidRPr="00B627BB" w:rsidRDefault="00AF6128" w:rsidP="0046523B">
            <w:pPr>
              <w:pStyle w:val="NoSpacing"/>
              <w:widowControl w:val="0"/>
              <w:numPr>
                <w:ilvl w:val="0"/>
                <w:numId w:val="7"/>
              </w:numPr>
              <w:tabs>
                <w:tab w:val="clear" w:pos="752"/>
              </w:tabs>
              <w:ind w:left="0" w:firstLine="0"/>
            </w:pPr>
            <w:r w:rsidRPr="00B627BB">
              <w:t>Poreikių samprata ir klasifikacija</w:t>
            </w:r>
          </w:p>
          <w:p w14:paraId="7D2DB56F" w14:textId="77777777" w:rsidR="00AF6128" w:rsidRPr="00B627BB" w:rsidRDefault="00AF6128" w:rsidP="0046523B">
            <w:pPr>
              <w:pStyle w:val="NoSpacing"/>
              <w:widowControl w:val="0"/>
              <w:numPr>
                <w:ilvl w:val="0"/>
                <w:numId w:val="7"/>
              </w:numPr>
              <w:tabs>
                <w:tab w:val="clear" w:pos="752"/>
              </w:tabs>
              <w:ind w:left="0" w:firstLine="0"/>
            </w:pPr>
            <w:r w:rsidRPr="00B627BB">
              <w:t>Namų ūkio veiklos poreikių motyvai</w:t>
            </w:r>
          </w:p>
          <w:p w14:paraId="5D966EFD" w14:textId="77777777" w:rsidR="00AF6128" w:rsidRPr="00B627BB" w:rsidRDefault="00AF6128" w:rsidP="0046523B">
            <w:pPr>
              <w:pStyle w:val="NoSpacing"/>
              <w:widowControl w:val="0"/>
              <w:numPr>
                <w:ilvl w:val="0"/>
                <w:numId w:val="7"/>
              </w:numPr>
              <w:tabs>
                <w:tab w:val="clear" w:pos="752"/>
              </w:tabs>
              <w:ind w:left="0" w:firstLine="0"/>
            </w:pPr>
            <w:r w:rsidRPr="00B627BB">
              <w:t>Poreikių plėtotė</w:t>
            </w:r>
          </w:p>
          <w:p w14:paraId="6F2CCFED" w14:textId="77777777" w:rsidR="00AF6128" w:rsidRPr="009B3D50" w:rsidRDefault="00AF6128" w:rsidP="0046523B">
            <w:pPr>
              <w:pStyle w:val="NoSpacing"/>
              <w:widowControl w:val="0"/>
              <w:numPr>
                <w:ilvl w:val="0"/>
                <w:numId w:val="7"/>
              </w:numPr>
              <w:tabs>
                <w:tab w:val="clear" w:pos="752"/>
              </w:tabs>
              <w:ind w:left="0" w:firstLine="0"/>
              <w:rPr>
                <w:rFonts w:eastAsiaTheme="minorHAnsi"/>
              </w:rPr>
            </w:pPr>
            <w:r w:rsidRPr="00B627BB">
              <w:t>Vartojimas</w:t>
            </w:r>
          </w:p>
          <w:p w14:paraId="2531A625" w14:textId="77777777" w:rsidR="00AF6128" w:rsidRPr="009B3D50" w:rsidRDefault="00AF6128" w:rsidP="0046523B">
            <w:pPr>
              <w:pStyle w:val="NoSpacing"/>
              <w:widowControl w:val="0"/>
              <w:tabs>
                <w:tab w:val="left" w:pos="222"/>
              </w:tabs>
              <w:rPr>
                <w:rFonts w:eastAsiaTheme="minorHAnsi"/>
                <w:b/>
                <w:bCs/>
                <w:i/>
                <w:iCs/>
              </w:rPr>
            </w:pPr>
            <w:r w:rsidRPr="009B3D50">
              <w:rPr>
                <w:rFonts w:eastAsiaTheme="minorHAnsi"/>
                <w:b/>
                <w:bCs/>
                <w:i/>
                <w:iCs/>
              </w:rPr>
              <w:t>Tema. Namų ūkio veikla</w:t>
            </w:r>
          </w:p>
          <w:p w14:paraId="7CBF9468" w14:textId="77777777" w:rsidR="00AF6128" w:rsidRPr="00B627BB" w:rsidRDefault="00AF6128" w:rsidP="0046523B">
            <w:pPr>
              <w:pStyle w:val="NoSpacing"/>
              <w:widowControl w:val="0"/>
              <w:numPr>
                <w:ilvl w:val="0"/>
                <w:numId w:val="7"/>
              </w:numPr>
              <w:tabs>
                <w:tab w:val="clear" w:pos="752"/>
              </w:tabs>
              <w:ind w:left="0" w:firstLine="0"/>
            </w:pPr>
            <w:r w:rsidRPr="00B627BB">
              <w:t>Namų ūkio veiklos turinys ir sritys</w:t>
            </w:r>
          </w:p>
          <w:p w14:paraId="5CAD581C" w14:textId="77777777" w:rsidR="00AF6128" w:rsidRPr="00B627BB" w:rsidRDefault="00AF6128" w:rsidP="0046523B">
            <w:pPr>
              <w:pStyle w:val="NoSpacing"/>
              <w:widowControl w:val="0"/>
              <w:numPr>
                <w:ilvl w:val="0"/>
                <w:numId w:val="7"/>
              </w:numPr>
              <w:tabs>
                <w:tab w:val="clear" w:pos="752"/>
              </w:tabs>
              <w:ind w:left="0" w:firstLine="0"/>
            </w:pPr>
            <w:r w:rsidRPr="00B627BB">
              <w:t>Namų ūkio produkcija ir efektyvumas</w:t>
            </w:r>
          </w:p>
          <w:p w14:paraId="011A0D9B" w14:textId="77777777" w:rsidR="00AF6128" w:rsidRPr="00B627BB" w:rsidRDefault="00AF6128" w:rsidP="0046523B">
            <w:pPr>
              <w:pStyle w:val="NoSpacing"/>
              <w:widowControl w:val="0"/>
              <w:numPr>
                <w:ilvl w:val="0"/>
                <w:numId w:val="7"/>
              </w:numPr>
              <w:tabs>
                <w:tab w:val="clear" w:pos="752"/>
              </w:tabs>
              <w:ind w:left="0" w:firstLine="0"/>
            </w:pPr>
            <w:r w:rsidRPr="00B627BB">
              <w:t>Namų ūkio ištekliai</w:t>
            </w:r>
          </w:p>
          <w:p w14:paraId="65DC9BCB" w14:textId="77777777" w:rsidR="00AF6128" w:rsidRPr="00B627BB" w:rsidRDefault="00AF6128" w:rsidP="0046523B">
            <w:pPr>
              <w:pStyle w:val="NoSpacing"/>
              <w:widowControl w:val="0"/>
              <w:numPr>
                <w:ilvl w:val="0"/>
                <w:numId w:val="7"/>
              </w:numPr>
              <w:tabs>
                <w:tab w:val="clear" w:pos="752"/>
              </w:tabs>
              <w:ind w:left="0" w:firstLine="0"/>
            </w:pPr>
            <w:r w:rsidRPr="00B627BB">
              <w:t>Darbas namų ūkyje</w:t>
            </w:r>
          </w:p>
          <w:p w14:paraId="63388AB3" w14:textId="186E987C" w:rsidR="00AF6128" w:rsidRPr="00AF6128" w:rsidRDefault="00AF6128" w:rsidP="0046523B">
            <w:pPr>
              <w:pStyle w:val="NoSpacing"/>
              <w:widowControl w:val="0"/>
              <w:numPr>
                <w:ilvl w:val="0"/>
                <w:numId w:val="7"/>
              </w:numPr>
              <w:tabs>
                <w:tab w:val="clear" w:pos="752"/>
              </w:tabs>
              <w:ind w:left="0" w:firstLine="0"/>
              <w:rPr>
                <w:rFonts w:eastAsiaTheme="minorHAnsi"/>
              </w:rPr>
            </w:pPr>
            <w:r w:rsidRPr="00B627BB">
              <w:t>Vadovavimas</w:t>
            </w:r>
            <w:r w:rsidRPr="00AF6128">
              <w:rPr>
                <w:rFonts w:eastAsiaTheme="minorHAnsi"/>
              </w:rPr>
              <w:t xml:space="preserve"> namų ūkiui</w:t>
            </w:r>
          </w:p>
        </w:tc>
      </w:tr>
      <w:tr w:rsidR="00AF6128" w:rsidRPr="00636A1A" w14:paraId="18A8FC7F" w14:textId="77777777" w:rsidTr="00DA1D45">
        <w:trPr>
          <w:trHeight w:val="1695"/>
          <w:jc w:val="center"/>
        </w:trPr>
        <w:tc>
          <w:tcPr>
            <w:tcW w:w="923" w:type="pct"/>
            <w:vMerge/>
          </w:tcPr>
          <w:p w14:paraId="77408E00" w14:textId="77777777" w:rsidR="00AF6128" w:rsidRPr="00636A1A" w:rsidRDefault="00AF6128" w:rsidP="0046523B">
            <w:pPr>
              <w:spacing w:after="0" w:line="240" w:lineRule="auto"/>
              <w:rPr>
                <w:rFonts w:ascii="Times New Roman" w:eastAsiaTheme="minorHAnsi" w:hAnsi="Times New Roman" w:cs="Times New Roman"/>
                <w:color w:val="000000"/>
                <w:sz w:val="24"/>
                <w:szCs w:val="24"/>
              </w:rPr>
            </w:pPr>
          </w:p>
        </w:tc>
        <w:tc>
          <w:tcPr>
            <w:tcW w:w="1152" w:type="pct"/>
          </w:tcPr>
          <w:p w14:paraId="02947E9B" w14:textId="77777777" w:rsidR="00AF6128" w:rsidRPr="009B3D50" w:rsidRDefault="00AF6128" w:rsidP="0046523B">
            <w:pPr>
              <w:spacing w:after="0" w:line="240" w:lineRule="auto"/>
              <w:rPr>
                <w:rFonts w:ascii="Times New Roman" w:eastAsiaTheme="minorHAnsi" w:hAnsi="Times New Roman" w:cs="Times New Roman"/>
                <w:sz w:val="24"/>
                <w:szCs w:val="24"/>
              </w:rPr>
            </w:pPr>
            <w:r w:rsidRPr="009B3D50">
              <w:rPr>
                <w:rFonts w:ascii="Times New Roman" w:eastAsiaTheme="minorHAnsi" w:hAnsi="Times New Roman" w:cs="Times New Roman"/>
                <w:sz w:val="24"/>
                <w:szCs w:val="24"/>
              </w:rPr>
              <w:t>2.3. Palyginti pajamas ir išlaidas.</w:t>
            </w:r>
          </w:p>
        </w:tc>
        <w:tc>
          <w:tcPr>
            <w:tcW w:w="2925" w:type="pct"/>
            <w:shd w:val="clear" w:color="auto" w:fill="auto"/>
          </w:tcPr>
          <w:p w14:paraId="77FB8D0B" w14:textId="77777777" w:rsidR="00AF6128" w:rsidRPr="009B3D50" w:rsidRDefault="00AF6128" w:rsidP="0046523B">
            <w:pPr>
              <w:pStyle w:val="NoSpacing"/>
              <w:widowControl w:val="0"/>
              <w:tabs>
                <w:tab w:val="left" w:pos="222"/>
              </w:tabs>
              <w:rPr>
                <w:rFonts w:eastAsiaTheme="minorHAnsi"/>
                <w:b/>
                <w:bCs/>
                <w:i/>
                <w:iCs/>
              </w:rPr>
            </w:pPr>
            <w:r w:rsidRPr="009B3D50">
              <w:rPr>
                <w:rFonts w:eastAsiaTheme="minorHAnsi"/>
                <w:b/>
                <w:bCs/>
                <w:i/>
                <w:iCs/>
              </w:rPr>
              <w:t>Tema. Pajamų ir išlaidų valdymas</w:t>
            </w:r>
          </w:p>
          <w:p w14:paraId="085ED6AA" w14:textId="77777777" w:rsidR="00AF6128" w:rsidRPr="00B627BB" w:rsidRDefault="00AF6128" w:rsidP="0046523B">
            <w:pPr>
              <w:pStyle w:val="NoSpacing"/>
              <w:widowControl w:val="0"/>
              <w:numPr>
                <w:ilvl w:val="0"/>
                <w:numId w:val="7"/>
              </w:numPr>
              <w:tabs>
                <w:tab w:val="clear" w:pos="752"/>
              </w:tabs>
              <w:ind w:left="0" w:firstLine="0"/>
            </w:pPr>
            <w:r w:rsidRPr="00B627BB">
              <w:t>Išlaidų rūšys</w:t>
            </w:r>
          </w:p>
          <w:p w14:paraId="395DDEF2" w14:textId="77777777" w:rsidR="00AF6128" w:rsidRPr="00B627BB" w:rsidRDefault="00AF6128" w:rsidP="0046523B">
            <w:pPr>
              <w:pStyle w:val="NoSpacing"/>
              <w:widowControl w:val="0"/>
              <w:numPr>
                <w:ilvl w:val="0"/>
                <w:numId w:val="7"/>
              </w:numPr>
              <w:tabs>
                <w:tab w:val="clear" w:pos="752"/>
              </w:tabs>
              <w:ind w:left="0" w:firstLine="0"/>
            </w:pPr>
            <w:r w:rsidRPr="00B627BB">
              <w:t>Išlaidų valdymas</w:t>
            </w:r>
          </w:p>
          <w:p w14:paraId="613EC3AD" w14:textId="77777777" w:rsidR="00AF6128" w:rsidRPr="00B627BB" w:rsidRDefault="00AF6128" w:rsidP="0046523B">
            <w:pPr>
              <w:pStyle w:val="NoSpacing"/>
              <w:widowControl w:val="0"/>
              <w:numPr>
                <w:ilvl w:val="0"/>
                <w:numId w:val="7"/>
              </w:numPr>
              <w:tabs>
                <w:tab w:val="clear" w:pos="752"/>
              </w:tabs>
              <w:ind w:left="0" w:firstLine="0"/>
            </w:pPr>
            <w:r w:rsidRPr="00B627BB">
              <w:t>Pajamų rūšys</w:t>
            </w:r>
          </w:p>
          <w:p w14:paraId="1A27770E" w14:textId="77777777" w:rsidR="00AF6128" w:rsidRPr="00B627BB" w:rsidRDefault="00AF6128" w:rsidP="0046523B">
            <w:pPr>
              <w:pStyle w:val="NoSpacing"/>
              <w:widowControl w:val="0"/>
              <w:numPr>
                <w:ilvl w:val="0"/>
                <w:numId w:val="7"/>
              </w:numPr>
              <w:tabs>
                <w:tab w:val="clear" w:pos="752"/>
              </w:tabs>
              <w:ind w:left="0" w:firstLine="0"/>
            </w:pPr>
            <w:r w:rsidRPr="00B627BB">
              <w:t>Pajamų valdymas</w:t>
            </w:r>
          </w:p>
          <w:p w14:paraId="538461CE" w14:textId="22405C73" w:rsidR="00AF6128" w:rsidRPr="00AF6128" w:rsidRDefault="00AF6128" w:rsidP="0046523B">
            <w:pPr>
              <w:pStyle w:val="NoSpacing"/>
              <w:widowControl w:val="0"/>
              <w:numPr>
                <w:ilvl w:val="0"/>
                <w:numId w:val="7"/>
              </w:numPr>
              <w:tabs>
                <w:tab w:val="clear" w:pos="752"/>
              </w:tabs>
              <w:ind w:left="0" w:firstLine="0"/>
              <w:rPr>
                <w:rFonts w:eastAsiaTheme="minorHAnsi"/>
              </w:rPr>
            </w:pPr>
            <w:r w:rsidRPr="00B627BB">
              <w:t>Pinigų</w:t>
            </w:r>
            <w:r w:rsidRPr="00AF6128">
              <w:rPr>
                <w:rFonts w:eastAsiaTheme="minorHAnsi"/>
              </w:rPr>
              <w:t xml:space="preserve"> srauto ataskaita</w:t>
            </w:r>
          </w:p>
        </w:tc>
      </w:tr>
      <w:tr w:rsidR="00AF6128" w:rsidRPr="00636A1A" w14:paraId="4DD4043A" w14:textId="77777777" w:rsidTr="00597558">
        <w:trPr>
          <w:trHeight w:val="1125"/>
          <w:jc w:val="center"/>
        </w:trPr>
        <w:tc>
          <w:tcPr>
            <w:tcW w:w="923" w:type="pct"/>
            <w:vMerge w:val="restart"/>
          </w:tcPr>
          <w:p w14:paraId="25EB53C1" w14:textId="77777777" w:rsidR="00AF6128" w:rsidRPr="00636A1A" w:rsidRDefault="00AF6128" w:rsidP="0046523B">
            <w:pPr>
              <w:spacing w:after="0" w:line="240" w:lineRule="auto"/>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 xml:space="preserve">3. </w:t>
            </w:r>
            <w:r w:rsidRPr="00ED3D08">
              <w:rPr>
                <w:rFonts w:ascii="Times New Roman" w:eastAsiaTheme="minorHAnsi" w:hAnsi="Times New Roman" w:cs="Times New Roman"/>
                <w:color w:val="000000"/>
                <w:sz w:val="24"/>
                <w:szCs w:val="24"/>
              </w:rPr>
              <w:t>Konsultuoti namų ūkio biudžeto sudarymo klausimais.</w:t>
            </w:r>
          </w:p>
        </w:tc>
        <w:tc>
          <w:tcPr>
            <w:tcW w:w="1152" w:type="pct"/>
          </w:tcPr>
          <w:p w14:paraId="4FF8CEC1" w14:textId="77777777" w:rsidR="00AF6128" w:rsidRPr="009B3D50" w:rsidRDefault="00AF6128" w:rsidP="0046523B">
            <w:pPr>
              <w:spacing w:after="0" w:line="240" w:lineRule="auto"/>
              <w:rPr>
                <w:rFonts w:ascii="Times New Roman" w:eastAsiaTheme="minorHAnsi" w:hAnsi="Times New Roman" w:cs="Times New Roman"/>
                <w:sz w:val="24"/>
                <w:szCs w:val="24"/>
              </w:rPr>
            </w:pPr>
            <w:r w:rsidRPr="009B3D50">
              <w:rPr>
                <w:rFonts w:ascii="Times New Roman" w:hAnsi="Times New Roman" w:cs="Times New Roman"/>
                <w:sz w:val="24"/>
                <w:szCs w:val="24"/>
              </w:rPr>
              <w:t>3.1. Paaiškinti Lietuvos ir ES mokesčių sistemas ir jų įtaką namų ūkio biudžetui.</w:t>
            </w:r>
          </w:p>
        </w:tc>
        <w:tc>
          <w:tcPr>
            <w:tcW w:w="2925" w:type="pct"/>
          </w:tcPr>
          <w:p w14:paraId="15678A9B" w14:textId="77777777" w:rsidR="00AF6128" w:rsidRPr="009B3D50" w:rsidRDefault="00AF6128" w:rsidP="0046523B">
            <w:pPr>
              <w:pStyle w:val="NoSpacing"/>
              <w:rPr>
                <w:b/>
                <w:i/>
              </w:rPr>
            </w:pPr>
            <w:r w:rsidRPr="009B3D50">
              <w:rPr>
                <w:b/>
              </w:rPr>
              <w:t>Tema.</w:t>
            </w:r>
            <w:r w:rsidRPr="009B3D50">
              <w:t xml:space="preserve"> </w:t>
            </w:r>
            <w:r w:rsidRPr="009B3D50">
              <w:rPr>
                <w:b/>
                <w:i/>
              </w:rPr>
              <w:t>Lietuvos ir ES mokesčių sistema</w:t>
            </w:r>
          </w:p>
          <w:p w14:paraId="403D2417" w14:textId="77777777" w:rsidR="00AF6128" w:rsidRPr="009B3D50" w:rsidRDefault="00AF6128" w:rsidP="0046523B">
            <w:pPr>
              <w:pStyle w:val="NoSpacing"/>
              <w:widowControl w:val="0"/>
              <w:numPr>
                <w:ilvl w:val="0"/>
                <w:numId w:val="7"/>
              </w:numPr>
              <w:tabs>
                <w:tab w:val="clear" w:pos="752"/>
              </w:tabs>
              <w:ind w:left="0" w:firstLine="0"/>
            </w:pPr>
            <w:r w:rsidRPr="009B3D50">
              <w:t>Lietuvoje taikomų mokesčių dinamika</w:t>
            </w:r>
          </w:p>
          <w:p w14:paraId="049E60A6" w14:textId="77777777" w:rsidR="00AF6128" w:rsidRPr="009B3D50" w:rsidRDefault="00AF6128" w:rsidP="0046523B">
            <w:pPr>
              <w:pStyle w:val="NoSpacing"/>
              <w:widowControl w:val="0"/>
              <w:numPr>
                <w:ilvl w:val="0"/>
                <w:numId w:val="7"/>
              </w:numPr>
              <w:tabs>
                <w:tab w:val="clear" w:pos="752"/>
              </w:tabs>
              <w:ind w:left="0" w:firstLine="0"/>
            </w:pPr>
            <w:r w:rsidRPr="009B3D50">
              <w:t>Pagrindinių mokesčių įtaka asmeninių finansų rodikliams</w:t>
            </w:r>
          </w:p>
          <w:p w14:paraId="7D04074B" w14:textId="77777777" w:rsidR="00AF6128" w:rsidRDefault="00AF6128" w:rsidP="0046523B">
            <w:pPr>
              <w:pStyle w:val="NoSpacing"/>
              <w:widowControl w:val="0"/>
              <w:numPr>
                <w:ilvl w:val="0"/>
                <w:numId w:val="7"/>
              </w:numPr>
              <w:tabs>
                <w:tab w:val="clear" w:pos="752"/>
              </w:tabs>
              <w:ind w:left="0" w:firstLine="0"/>
            </w:pPr>
            <w:r w:rsidRPr="009B3D50">
              <w:t>Mokestinės naštos nustatymas</w:t>
            </w:r>
          </w:p>
          <w:p w14:paraId="541BE95A" w14:textId="758B5335" w:rsidR="00AF6128" w:rsidRPr="00AF6128" w:rsidRDefault="00AF6128" w:rsidP="0046523B">
            <w:pPr>
              <w:pStyle w:val="NoSpacing"/>
              <w:widowControl w:val="0"/>
              <w:numPr>
                <w:ilvl w:val="0"/>
                <w:numId w:val="7"/>
              </w:numPr>
              <w:tabs>
                <w:tab w:val="clear" w:pos="752"/>
              </w:tabs>
              <w:ind w:left="0" w:firstLine="0"/>
            </w:pPr>
            <w:r w:rsidRPr="009B3D50">
              <w:t>Lietuvos ir ES mokesčių palyginimas ir sugretinimas</w:t>
            </w:r>
          </w:p>
        </w:tc>
      </w:tr>
      <w:tr w:rsidR="00AF6128" w:rsidRPr="00636A1A" w14:paraId="7ACC3DA4" w14:textId="77777777" w:rsidTr="00DA1D45">
        <w:trPr>
          <w:trHeight w:val="1695"/>
          <w:jc w:val="center"/>
        </w:trPr>
        <w:tc>
          <w:tcPr>
            <w:tcW w:w="923" w:type="pct"/>
            <w:vMerge/>
          </w:tcPr>
          <w:p w14:paraId="59B2F970" w14:textId="77777777" w:rsidR="00AF6128" w:rsidRDefault="00AF6128" w:rsidP="0046523B">
            <w:pPr>
              <w:spacing w:after="0" w:line="240" w:lineRule="auto"/>
              <w:rPr>
                <w:rFonts w:ascii="Times New Roman" w:eastAsiaTheme="minorHAnsi" w:hAnsi="Times New Roman" w:cs="Times New Roman"/>
                <w:color w:val="000000"/>
                <w:sz w:val="24"/>
                <w:szCs w:val="24"/>
              </w:rPr>
            </w:pPr>
          </w:p>
        </w:tc>
        <w:tc>
          <w:tcPr>
            <w:tcW w:w="1152" w:type="pct"/>
          </w:tcPr>
          <w:p w14:paraId="42182BC2" w14:textId="77777777" w:rsidR="00AF6128" w:rsidRPr="009B3D50" w:rsidRDefault="00AF6128" w:rsidP="0046523B">
            <w:pPr>
              <w:spacing w:after="0" w:line="240" w:lineRule="auto"/>
              <w:rPr>
                <w:rFonts w:ascii="Times New Roman" w:eastAsiaTheme="minorHAnsi" w:hAnsi="Times New Roman" w:cs="Times New Roman"/>
                <w:sz w:val="24"/>
                <w:szCs w:val="24"/>
              </w:rPr>
            </w:pPr>
            <w:r w:rsidRPr="009B3D50">
              <w:rPr>
                <w:rFonts w:ascii="Times New Roman" w:hAnsi="Times New Roman" w:cs="Times New Roman"/>
                <w:sz w:val="24"/>
                <w:szCs w:val="24"/>
              </w:rPr>
              <w:t>3.2. Apskaičiuoti mokesčius planuojant išlaidas.</w:t>
            </w:r>
          </w:p>
        </w:tc>
        <w:tc>
          <w:tcPr>
            <w:tcW w:w="2925" w:type="pct"/>
          </w:tcPr>
          <w:p w14:paraId="3207AE6A" w14:textId="77777777" w:rsidR="00AF6128" w:rsidRPr="009B3D50" w:rsidRDefault="00AF6128" w:rsidP="0046523B">
            <w:pPr>
              <w:pStyle w:val="NoSpacing"/>
              <w:widowControl w:val="0"/>
              <w:rPr>
                <w:b/>
                <w:i/>
              </w:rPr>
            </w:pPr>
            <w:r w:rsidRPr="009B3D50">
              <w:rPr>
                <w:b/>
              </w:rPr>
              <w:t xml:space="preserve">Tema. </w:t>
            </w:r>
            <w:r w:rsidRPr="009B3D50">
              <w:rPr>
                <w:b/>
                <w:i/>
              </w:rPr>
              <w:t>Mokesčiai ir mokesčių planavimas</w:t>
            </w:r>
          </w:p>
          <w:p w14:paraId="6BBADA4B" w14:textId="77777777" w:rsidR="00AF6128" w:rsidRPr="009B3D50" w:rsidRDefault="00AF6128" w:rsidP="0046523B">
            <w:pPr>
              <w:pStyle w:val="NoSpacing"/>
              <w:widowControl w:val="0"/>
              <w:numPr>
                <w:ilvl w:val="0"/>
                <w:numId w:val="7"/>
              </w:numPr>
              <w:tabs>
                <w:tab w:val="clear" w:pos="752"/>
              </w:tabs>
              <w:ind w:left="0" w:firstLine="0"/>
            </w:pPr>
            <w:r w:rsidRPr="009B3D50">
              <w:t>Gyventojų pajamų mokestis (GPM)</w:t>
            </w:r>
          </w:p>
          <w:p w14:paraId="7A555B84" w14:textId="77777777" w:rsidR="00AF6128" w:rsidRPr="009B3D50" w:rsidRDefault="00AF6128" w:rsidP="0046523B">
            <w:pPr>
              <w:pStyle w:val="NoSpacing"/>
              <w:widowControl w:val="0"/>
              <w:numPr>
                <w:ilvl w:val="0"/>
                <w:numId w:val="7"/>
              </w:numPr>
              <w:tabs>
                <w:tab w:val="clear" w:pos="752"/>
              </w:tabs>
              <w:ind w:left="0" w:firstLine="0"/>
            </w:pPr>
            <w:r w:rsidRPr="009B3D50">
              <w:t>Privalomojo sveikatos draudimo įmokos (PSD)</w:t>
            </w:r>
          </w:p>
          <w:p w14:paraId="37A4C2ED" w14:textId="77777777" w:rsidR="00AF6128" w:rsidRPr="009B3D50" w:rsidRDefault="00AF6128" w:rsidP="0046523B">
            <w:pPr>
              <w:pStyle w:val="NoSpacing"/>
              <w:widowControl w:val="0"/>
              <w:numPr>
                <w:ilvl w:val="0"/>
                <w:numId w:val="7"/>
              </w:numPr>
              <w:tabs>
                <w:tab w:val="clear" w:pos="752"/>
              </w:tabs>
              <w:ind w:left="0" w:firstLine="0"/>
            </w:pPr>
            <w:r w:rsidRPr="009B3D50">
              <w:t>Socialinio draudimo įmokos (SODRA)</w:t>
            </w:r>
          </w:p>
          <w:p w14:paraId="7408684D" w14:textId="77777777" w:rsidR="00AF6128" w:rsidRDefault="00AF6128" w:rsidP="0046523B">
            <w:pPr>
              <w:pStyle w:val="NoSpacing"/>
              <w:widowControl w:val="0"/>
              <w:numPr>
                <w:ilvl w:val="0"/>
                <w:numId w:val="7"/>
              </w:numPr>
              <w:tabs>
                <w:tab w:val="clear" w:pos="752"/>
              </w:tabs>
              <w:ind w:left="0" w:firstLine="0"/>
            </w:pPr>
            <w:r w:rsidRPr="009B3D50">
              <w:t>Pridėtinės vertės mokestis (PVM)</w:t>
            </w:r>
          </w:p>
          <w:p w14:paraId="3D9AE83D" w14:textId="6FDC5DD3" w:rsidR="00AF6128" w:rsidRPr="00AF6128" w:rsidRDefault="00AF6128" w:rsidP="0046523B">
            <w:pPr>
              <w:pStyle w:val="NoSpacing"/>
              <w:widowControl w:val="0"/>
              <w:numPr>
                <w:ilvl w:val="0"/>
                <w:numId w:val="7"/>
              </w:numPr>
              <w:tabs>
                <w:tab w:val="clear" w:pos="752"/>
              </w:tabs>
              <w:ind w:left="0" w:firstLine="0"/>
            </w:pPr>
            <w:r w:rsidRPr="009B3D50">
              <w:t>Turto mokesčiai</w:t>
            </w:r>
          </w:p>
        </w:tc>
      </w:tr>
      <w:tr w:rsidR="00AF6128" w:rsidRPr="00636A1A" w14:paraId="760FAF1E" w14:textId="77777777" w:rsidTr="00DA1D45">
        <w:trPr>
          <w:trHeight w:val="1365"/>
          <w:jc w:val="center"/>
        </w:trPr>
        <w:tc>
          <w:tcPr>
            <w:tcW w:w="923" w:type="pct"/>
            <w:vMerge/>
          </w:tcPr>
          <w:p w14:paraId="0865A721" w14:textId="77777777" w:rsidR="00AF6128" w:rsidRDefault="00AF6128" w:rsidP="0046523B">
            <w:pPr>
              <w:spacing w:after="0" w:line="240" w:lineRule="auto"/>
              <w:rPr>
                <w:rFonts w:ascii="Times New Roman" w:eastAsiaTheme="minorHAnsi" w:hAnsi="Times New Roman" w:cs="Times New Roman"/>
                <w:color w:val="000000"/>
                <w:sz w:val="24"/>
                <w:szCs w:val="24"/>
              </w:rPr>
            </w:pPr>
          </w:p>
        </w:tc>
        <w:tc>
          <w:tcPr>
            <w:tcW w:w="1152" w:type="pct"/>
          </w:tcPr>
          <w:p w14:paraId="3EC95BDB" w14:textId="77777777" w:rsidR="00AF6128" w:rsidRPr="009B3D50" w:rsidRDefault="00AF6128" w:rsidP="0046523B">
            <w:pPr>
              <w:spacing w:after="0" w:line="240" w:lineRule="auto"/>
              <w:rPr>
                <w:rFonts w:ascii="Times New Roman" w:eastAsiaTheme="minorHAnsi" w:hAnsi="Times New Roman" w:cs="Times New Roman"/>
                <w:sz w:val="24"/>
                <w:szCs w:val="24"/>
              </w:rPr>
            </w:pPr>
            <w:r w:rsidRPr="009B3D50">
              <w:rPr>
                <w:rFonts w:ascii="Times New Roman" w:hAnsi="Times New Roman" w:cs="Times New Roman"/>
                <w:sz w:val="24"/>
                <w:szCs w:val="24"/>
              </w:rPr>
              <w:t>3.3. Nustatyti tinkamus turto finansavimo šaltinius.</w:t>
            </w:r>
          </w:p>
        </w:tc>
        <w:tc>
          <w:tcPr>
            <w:tcW w:w="2925" w:type="pct"/>
          </w:tcPr>
          <w:p w14:paraId="170897C5" w14:textId="77777777" w:rsidR="00AF6128" w:rsidRPr="009B3D50" w:rsidRDefault="00AF6128" w:rsidP="0046523B">
            <w:pPr>
              <w:pStyle w:val="Pagrindinistekstas1"/>
              <w:spacing w:line="240" w:lineRule="auto"/>
              <w:ind w:firstLine="0"/>
              <w:jc w:val="left"/>
              <w:rPr>
                <w:b/>
                <w:i/>
                <w:color w:val="auto"/>
                <w:sz w:val="24"/>
                <w:szCs w:val="24"/>
                <w:lang w:val="lt-LT"/>
              </w:rPr>
            </w:pPr>
            <w:r w:rsidRPr="009B3D50">
              <w:rPr>
                <w:b/>
                <w:color w:val="auto"/>
                <w:sz w:val="24"/>
                <w:szCs w:val="24"/>
                <w:lang w:val="lt-LT"/>
              </w:rPr>
              <w:t xml:space="preserve">Tema. </w:t>
            </w:r>
            <w:r w:rsidRPr="009B3D50">
              <w:rPr>
                <w:b/>
                <w:i/>
                <w:color w:val="auto"/>
                <w:sz w:val="24"/>
                <w:szCs w:val="24"/>
                <w:lang w:val="lt-LT"/>
              </w:rPr>
              <w:t>Įsipareigojimų valdymas, turto finansavimo šaltiniai</w:t>
            </w:r>
          </w:p>
          <w:p w14:paraId="3FB32FD7" w14:textId="77777777" w:rsidR="00AF6128" w:rsidRPr="009B3D50" w:rsidRDefault="00AF6128" w:rsidP="0046523B">
            <w:pPr>
              <w:pStyle w:val="NoSpacing"/>
              <w:widowControl w:val="0"/>
              <w:numPr>
                <w:ilvl w:val="0"/>
                <w:numId w:val="7"/>
              </w:numPr>
              <w:tabs>
                <w:tab w:val="clear" w:pos="752"/>
              </w:tabs>
              <w:ind w:left="0" w:firstLine="0"/>
            </w:pPr>
            <w:r w:rsidRPr="009B3D50">
              <w:t>Paskolų gavėjų finansinės būklės vertinimas</w:t>
            </w:r>
          </w:p>
          <w:p w14:paraId="583F2BB0" w14:textId="77777777" w:rsidR="00AF6128" w:rsidRPr="009B3D50" w:rsidRDefault="00AF6128" w:rsidP="0046523B">
            <w:pPr>
              <w:pStyle w:val="NoSpacing"/>
              <w:widowControl w:val="0"/>
              <w:numPr>
                <w:ilvl w:val="0"/>
                <w:numId w:val="7"/>
              </w:numPr>
              <w:tabs>
                <w:tab w:val="clear" w:pos="752"/>
              </w:tabs>
              <w:ind w:left="0" w:firstLine="0"/>
            </w:pPr>
            <w:r w:rsidRPr="009B3D50">
              <w:t>Paskolų grąžinimo užtikrinimo priemonės</w:t>
            </w:r>
          </w:p>
          <w:p w14:paraId="742B3BD7" w14:textId="77777777" w:rsidR="00AF6128" w:rsidRDefault="00AF6128" w:rsidP="0046523B">
            <w:pPr>
              <w:pStyle w:val="NoSpacing"/>
              <w:widowControl w:val="0"/>
              <w:numPr>
                <w:ilvl w:val="0"/>
                <w:numId w:val="7"/>
              </w:numPr>
              <w:tabs>
                <w:tab w:val="clear" w:pos="752"/>
              </w:tabs>
              <w:ind w:left="0" w:firstLine="0"/>
            </w:pPr>
            <w:r w:rsidRPr="009B3D50">
              <w:t>Kitos paskolų išdavimo sąlygos</w:t>
            </w:r>
          </w:p>
          <w:p w14:paraId="20123889" w14:textId="78EE9731" w:rsidR="00AF6128" w:rsidRPr="00AF6128" w:rsidRDefault="00AF6128" w:rsidP="0046523B">
            <w:pPr>
              <w:pStyle w:val="NoSpacing"/>
              <w:widowControl w:val="0"/>
              <w:numPr>
                <w:ilvl w:val="0"/>
                <w:numId w:val="7"/>
              </w:numPr>
              <w:tabs>
                <w:tab w:val="clear" w:pos="752"/>
              </w:tabs>
              <w:ind w:left="0" w:firstLine="0"/>
            </w:pPr>
            <w:r w:rsidRPr="009B3D50">
              <w:t>Paskolinių produktų rūšys ir naudojimo ypatumai</w:t>
            </w:r>
          </w:p>
        </w:tc>
      </w:tr>
      <w:tr w:rsidR="00AF6128" w:rsidRPr="00636A1A" w14:paraId="1543D461" w14:textId="77777777" w:rsidTr="00DA1D45">
        <w:trPr>
          <w:trHeight w:val="762"/>
          <w:jc w:val="center"/>
        </w:trPr>
        <w:tc>
          <w:tcPr>
            <w:tcW w:w="923" w:type="pct"/>
            <w:vMerge/>
          </w:tcPr>
          <w:p w14:paraId="52BDF973" w14:textId="77777777" w:rsidR="00AF6128" w:rsidRDefault="00AF6128" w:rsidP="0046523B">
            <w:pPr>
              <w:spacing w:after="0" w:line="240" w:lineRule="auto"/>
              <w:rPr>
                <w:rFonts w:ascii="Times New Roman" w:eastAsiaTheme="minorHAnsi" w:hAnsi="Times New Roman" w:cs="Times New Roman"/>
                <w:color w:val="000000"/>
                <w:sz w:val="24"/>
                <w:szCs w:val="24"/>
              </w:rPr>
            </w:pPr>
          </w:p>
        </w:tc>
        <w:tc>
          <w:tcPr>
            <w:tcW w:w="1152" w:type="pct"/>
          </w:tcPr>
          <w:p w14:paraId="5D178BD0" w14:textId="77777777" w:rsidR="00AF6128" w:rsidRPr="009B3D50" w:rsidRDefault="00AF6128" w:rsidP="0046523B">
            <w:pPr>
              <w:spacing w:after="0" w:line="240" w:lineRule="auto"/>
              <w:rPr>
                <w:rFonts w:ascii="Times New Roman" w:eastAsiaTheme="minorHAnsi" w:hAnsi="Times New Roman" w:cs="Times New Roman"/>
                <w:sz w:val="24"/>
                <w:szCs w:val="24"/>
              </w:rPr>
            </w:pPr>
            <w:r w:rsidRPr="009B3D50">
              <w:rPr>
                <w:rFonts w:ascii="Times New Roman" w:hAnsi="Times New Roman" w:cs="Times New Roman"/>
                <w:sz w:val="24"/>
                <w:szCs w:val="24"/>
              </w:rPr>
              <w:t>3.4. Nustatyti taupymo įtaką asmeninių finansų valdymui.</w:t>
            </w:r>
          </w:p>
        </w:tc>
        <w:tc>
          <w:tcPr>
            <w:tcW w:w="2925" w:type="pct"/>
          </w:tcPr>
          <w:p w14:paraId="66BACFFE" w14:textId="77777777" w:rsidR="00AF6128" w:rsidRPr="009B3D50" w:rsidRDefault="00AF6128" w:rsidP="0046523B">
            <w:pPr>
              <w:pStyle w:val="Pagrindinistekstas1"/>
              <w:spacing w:line="240" w:lineRule="auto"/>
              <w:ind w:firstLine="0"/>
              <w:jc w:val="left"/>
              <w:rPr>
                <w:b/>
                <w:i/>
                <w:color w:val="auto"/>
                <w:sz w:val="24"/>
                <w:szCs w:val="24"/>
                <w:lang w:val="lt-LT"/>
              </w:rPr>
            </w:pPr>
            <w:r w:rsidRPr="009B3D50">
              <w:rPr>
                <w:b/>
                <w:color w:val="auto"/>
                <w:sz w:val="24"/>
                <w:szCs w:val="24"/>
                <w:lang w:val="lt-LT"/>
              </w:rPr>
              <w:t xml:space="preserve">Tema. </w:t>
            </w:r>
            <w:r w:rsidRPr="009B3D50">
              <w:rPr>
                <w:b/>
                <w:i/>
                <w:color w:val="auto"/>
                <w:sz w:val="24"/>
                <w:szCs w:val="24"/>
                <w:lang w:val="lt-LT"/>
              </w:rPr>
              <w:t>Taupymas ir taupymo produktai, įtaka asmeniniams finansams</w:t>
            </w:r>
          </w:p>
          <w:p w14:paraId="4B90E938" w14:textId="77777777" w:rsidR="00AF6128" w:rsidRDefault="00AF6128" w:rsidP="0046523B">
            <w:pPr>
              <w:pStyle w:val="NoSpacing"/>
              <w:widowControl w:val="0"/>
              <w:numPr>
                <w:ilvl w:val="0"/>
                <w:numId w:val="7"/>
              </w:numPr>
              <w:tabs>
                <w:tab w:val="clear" w:pos="752"/>
              </w:tabs>
              <w:ind w:left="0" w:firstLine="0"/>
            </w:pPr>
            <w:r w:rsidRPr="009B3D50">
              <w:t>Taupymo planai</w:t>
            </w:r>
          </w:p>
          <w:p w14:paraId="046E446E" w14:textId="3C6D638D" w:rsidR="00AF6128" w:rsidRPr="00AF6128" w:rsidRDefault="00AF6128" w:rsidP="0046523B">
            <w:pPr>
              <w:pStyle w:val="NoSpacing"/>
              <w:widowControl w:val="0"/>
              <w:numPr>
                <w:ilvl w:val="0"/>
                <w:numId w:val="7"/>
              </w:numPr>
              <w:tabs>
                <w:tab w:val="clear" w:pos="752"/>
              </w:tabs>
              <w:ind w:left="0" w:firstLine="0"/>
            </w:pPr>
            <w:r w:rsidRPr="009B3D50">
              <w:t>Taupymo produktai</w:t>
            </w:r>
          </w:p>
        </w:tc>
      </w:tr>
      <w:tr w:rsidR="00AF6128" w:rsidRPr="00636A1A" w14:paraId="02ED96B2" w14:textId="77777777" w:rsidTr="00DA1D45">
        <w:trPr>
          <w:trHeight w:val="1441"/>
          <w:jc w:val="center"/>
        </w:trPr>
        <w:tc>
          <w:tcPr>
            <w:tcW w:w="923" w:type="pct"/>
            <w:vMerge/>
          </w:tcPr>
          <w:p w14:paraId="66374B5A" w14:textId="77777777" w:rsidR="00AF6128" w:rsidRDefault="00AF6128" w:rsidP="0046523B">
            <w:pPr>
              <w:spacing w:after="0" w:line="240" w:lineRule="auto"/>
              <w:rPr>
                <w:rFonts w:ascii="Times New Roman" w:eastAsiaTheme="minorHAnsi" w:hAnsi="Times New Roman" w:cs="Times New Roman"/>
                <w:color w:val="000000"/>
                <w:sz w:val="24"/>
                <w:szCs w:val="24"/>
              </w:rPr>
            </w:pPr>
          </w:p>
        </w:tc>
        <w:tc>
          <w:tcPr>
            <w:tcW w:w="1152" w:type="pct"/>
          </w:tcPr>
          <w:p w14:paraId="7252ABC9" w14:textId="77777777" w:rsidR="00AF6128" w:rsidRPr="009B3D50" w:rsidRDefault="00AF6128" w:rsidP="0046523B">
            <w:pPr>
              <w:spacing w:after="0" w:line="240" w:lineRule="auto"/>
              <w:rPr>
                <w:rFonts w:ascii="Times New Roman" w:eastAsiaTheme="minorHAnsi" w:hAnsi="Times New Roman" w:cs="Times New Roman"/>
                <w:sz w:val="24"/>
                <w:szCs w:val="24"/>
              </w:rPr>
            </w:pPr>
            <w:r w:rsidRPr="009B3D50">
              <w:rPr>
                <w:rFonts w:ascii="Times New Roman" w:hAnsi="Times New Roman" w:cs="Times New Roman"/>
                <w:sz w:val="24"/>
                <w:szCs w:val="24"/>
              </w:rPr>
              <w:t>3.5. Sudaryti namų ūkio biudžetą.</w:t>
            </w:r>
          </w:p>
        </w:tc>
        <w:tc>
          <w:tcPr>
            <w:tcW w:w="2925" w:type="pct"/>
          </w:tcPr>
          <w:p w14:paraId="60557A04" w14:textId="77777777" w:rsidR="00AF6128" w:rsidRPr="009B3D50" w:rsidRDefault="00AF6128" w:rsidP="0046523B">
            <w:pPr>
              <w:pStyle w:val="Pagrindinistekstas1"/>
              <w:spacing w:line="240" w:lineRule="auto"/>
              <w:ind w:firstLine="0"/>
              <w:jc w:val="left"/>
              <w:rPr>
                <w:b/>
                <w:i/>
                <w:color w:val="auto"/>
                <w:sz w:val="24"/>
                <w:szCs w:val="24"/>
                <w:lang w:val="lt-LT"/>
              </w:rPr>
            </w:pPr>
            <w:r w:rsidRPr="009B3D50">
              <w:rPr>
                <w:b/>
                <w:color w:val="auto"/>
                <w:sz w:val="24"/>
                <w:szCs w:val="24"/>
                <w:lang w:val="lt-LT"/>
              </w:rPr>
              <w:t xml:space="preserve">Tema. </w:t>
            </w:r>
            <w:r w:rsidRPr="009B3D50">
              <w:rPr>
                <w:b/>
                <w:i/>
                <w:color w:val="auto"/>
                <w:sz w:val="24"/>
                <w:szCs w:val="24"/>
                <w:lang w:val="lt-LT"/>
              </w:rPr>
              <w:t>Namų ūkio biudžetas ir jo tvarkymas</w:t>
            </w:r>
          </w:p>
          <w:p w14:paraId="4A36D819" w14:textId="77777777" w:rsidR="00AF6128" w:rsidRPr="009B3D50" w:rsidRDefault="00AF6128" w:rsidP="0046523B">
            <w:pPr>
              <w:pStyle w:val="NoSpacing"/>
              <w:widowControl w:val="0"/>
              <w:numPr>
                <w:ilvl w:val="0"/>
                <w:numId w:val="7"/>
              </w:numPr>
              <w:tabs>
                <w:tab w:val="clear" w:pos="752"/>
              </w:tabs>
              <w:ind w:left="0" w:firstLine="0"/>
            </w:pPr>
            <w:r w:rsidRPr="009B3D50">
              <w:t>Biudžeto sudarymas</w:t>
            </w:r>
          </w:p>
          <w:p w14:paraId="350D1F75" w14:textId="77777777" w:rsidR="00AF6128" w:rsidRPr="009B3D50" w:rsidRDefault="00AF6128" w:rsidP="0046523B">
            <w:pPr>
              <w:pStyle w:val="NoSpacing"/>
              <w:widowControl w:val="0"/>
              <w:numPr>
                <w:ilvl w:val="0"/>
                <w:numId w:val="7"/>
              </w:numPr>
              <w:tabs>
                <w:tab w:val="clear" w:pos="752"/>
              </w:tabs>
              <w:ind w:left="0" w:firstLine="0"/>
            </w:pPr>
            <w:r w:rsidRPr="009B3D50">
              <w:t>Finansinės ataskaitos</w:t>
            </w:r>
          </w:p>
          <w:p w14:paraId="1D317437" w14:textId="77777777" w:rsidR="00AF6128" w:rsidRDefault="00AF6128" w:rsidP="0046523B">
            <w:pPr>
              <w:pStyle w:val="NoSpacing"/>
              <w:widowControl w:val="0"/>
              <w:numPr>
                <w:ilvl w:val="0"/>
                <w:numId w:val="7"/>
              </w:numPr>
              <w:tabs>
                <w:tab w:val="clear" w:pos="752"/>
              </w:tabs>
              <w:ind w:left="0" w:firstLine="0"/>
            </w:pPr>
            <w:r w:rsidRPr="009B3D50">
              <w:t>Biudžeto analizė</w:t>
            </w:r>
          </w:p>
          <w:p w14:paraId="54A2C1B1" w14:textId="464D43DE" w:rsidR="00AF6128" w:rsidRPr="00AF6128" w:rsidRDefault="00AF6128" w:rsidP="0046523B">
            <w:pPr>
              <w:pStyle w:val="NoSpacing"/>
              <w:widowControl w:val="0"/>
              <w:numPr>
                <w:ilvl w:val="0"/>
                <w:numId w:val="7"/>
              </w:numPr>
              <w:tabs>
                <w:tab w:val="clear" w:pos="752"/>
              </w:tabs>
              <w:ind w:left="0" w:firstLine="0"/>
            </w:pPr>
            <w:r w:rsidRPr="009B3D50">
              <w:t>Asmeniniai finansiniai rodikliai</w:t>
            </w:r>
          </w:p>
        </w:tc>
      </w:tr>
      <w:tr w:rsidR="00AF6128" w:rsidRPr="00636A1A" w14:paraId="63DCADE0" w14:textId="77777777" w:rsidTr="00597558">
        <w:trPr>
          <w:trHeight w:val="1125"/>
          <w:jc w:val="center"/>
        </w:trPr>
        <w:tc>
          <w:tcPr>
            <w:tcW w:w="923" w:type="pct"/>
          </w:tcPr>
          <w:p w14:paraId="6FBAD3A6" w14:textId="77777777" w:rsidR="00AF6128" w:rsidRDefault="00AF6128" w:rsidP="0046523B">
            <w:pPr>
              <w:spacing w:after="0" w:line="240" w:lineRule="auto"/>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 xml:space="preserve">4. </w:t>
            </w:r>
            <w:r w:rsidRPr="00ED3D08">
              <w:rPr>
                <w:rFonts w:ascii="Times New Roman" w:eastAsiaTheme="minorHAnsi" w:hAnsi="Times New Roman" w:cs="Times New Roman"/>
                <w:color w:val="000000"/>
                <w:sz w:val="24"/>
                <w:szCs w:val="24"/>
              </w:rPr>
              <w:t>Įvertinti asmeninių finansų valdymo rizikas ir investavimo galimybes.</w:t>
            </w:r>
          </w:p>
        </w:tc>
        <w:tc>
          <w:tcPr>
            <w:tcW w:w="1152" w:type="pct"/>
          </w:tcPr>
          <w:p w14:paraId="6D566EDB" w14:textId="77777777" w:rsidR="00AF6128" w:rsidRPr="009B3D50" w:rsidRDefault="00AF6128" w:rsidP="0046523B">
            <w:pPr>
              <w:spacing w:after="0" w:line="240" w:lineRule="auto"/>
              <w:rPr>
                <w:rFonts w:ascii="Times New Roman" w:eastAsiaTheme="minorHAnsi" w:hAnsi="Times New Roman" w:cs="Times New Roman"/>
                <w:sz w:val="24"/>
                <w:szCs w:val="24"/>
              </w:rPr>
            </w:pPr>
            <w:r w:rsidRPr="009B3D50">
              <w:rPr>
                <w:rFonts w:ascii="Times New Roman" w:hAnsi="Times New Roman" w:cs="Times New Roman"/>
                <w:sz w:val="24"/>
                <w:szCs w:val="24"/>
              </w:rPr>
              <w:t>4.1. Parinkti alternatyvias finansines priemones investicijoms.</w:t>
            </w:r>
          </w:p>
        </w:tc>
        <w:tc>
          <w:tcPr>
            <w:tcW w:w="2925" w:type="pct"/>
          </w:tcPr>
          <w:p w14:paraId="7CDFC71D" w14:textId="77777777" w:rsidR="00AF6128" w:rsidRPr="009B3D50" w:rsidRDefault="00AF6128" w:rsidP="0046523B">
            <w:pPr>
              <w:pStyle w:val="NoSpacing"/>
              <w:rPr>
                <w:b/>
                <w:i/>
              </w:rPr>
            </w:pPr>
            <w:r w:rsidRPr="009B3D50">
              <w:rPr>
                <w:b/>
              </w:rPr>
              <w:t xml:space="preserve">Tema. </w:t>
            </w:r>
            <w:r w:rsidRPr="009B3D50">
              <w:rPr>
                <w:b/>
                <w:i/>
              </w:rPr>
              <w:t>Finansinės priemonės ir alternatyvios investicijos</w:t>
            </w:r>
          </w:p>
          <w:p w14:paraId="2FE68F5C" w14:textId="77777777" w:rsidR="00AF6128" w:rsidRPr="009B3D50" w:rsidRDefault="00AF6128" w:rsidP="0046523B">
            <w:pPr>
              <w:pStyle w:val="NoSpacing"/>
              <w:widowControl w:val="0"/>
              <w:numPr>
                <w:ilvl w:val="0"/>
                <w:numId w:val="7"/>
              </w:numPr>
              <w:tabs>
                <w:tab w:val="clear" w:pos="752"/>
              </w:tabs>
              <w:ind w:left="0" w:firstLine="0"/>
            </w:pPr>
            <w:r w:rsidRPr="009B3D50">
              <w:t>Asmeninių investicijų klasifikavimas</w:t>
            </w:r>
          </w:p>
          <w:p w14:paraId="3B167E96" w14:textId="77777777" w:rsidR="00AF6128" w:rsidRPr="009B3D50" w:rsidRDefault="00AF6128" w:rsidP="0046523B">
            <w:pPr>
              <w:pStyle w:val="NoSpacing"/>
              <w:widowControl w:val="0"/>
              <w:numPr>
                <w:ilvl w:val="0"/>
                <w:numId w:val="7"/>
              </w:numPr>
              <w:tabs>
                <w:tab w:val="clear" w:pos="752"/>
              </w:tabs>
              <w:ind w:left="0" w:firstLine="0"/>
            </w:pPr>
            <w:r w:rsidRPr="009B3D50">
              <w:t>Finansinės investicinės priemonės: jų rūšys ir susijusi rizika</w:t>
            </w:r>
          </w:p>
          <w:p w14:paraId="1DC583D8" w14:textId="77777777" w:rsidR="00AF6128" w:rsidRDefault="00AF6128" w:rsidP="0046523B">
            <w:pPr>
              <w:pStyle w:val="NoSpacing"/>
              <w:widowControl w:val="0"/>
              <w:numPr>
                <w:ilvl w:val="0"/>
                <w:numId w:val="7"/>
              </w:numPr>
              <w:tabs>
                <w:tab w:val="clear" w:pos="752"/>
              </w:tabs>
              <w:ind w:left="0" w:firstLine="0"/>
            </w:pPr>
            <w:r w:rsidRPr="009B3D50">
              <w:t>Alternatyvios investicinės priemonės: jų rūšys ir susijusi rizika</w:t>
            </w:r>
          </w:p>
          <w:p w14:paraId="6517F9F2" w14:textId="7F5CE1E6" w:rsidR="00590FFA" w:rsidRPr="00AF6128" w:rsidRDefault="00AF6128" w:rsidP="00DA1D45">
            <w:pPr>
              <w:pStyle w:val="NoSpacing"/>
              <w:widowControl w:val="0"/>
              <w:numPr>
                <w:ilvl w:val="0"/>
                <w:numId w:val="7"/>
              </w:numPr>
              <w:tabs>
                <w:tab w:val="clear" w:pos="752"/>
              </w:tabs>
              <w:ind w:left="0" w:firstLine="0"/>
            </w:pPr>
            <w:r w:rsidRPr="009B3D50">
              <w:t>Investicinių priemonių kainų skaičiavimas</w:t>
            </w:r>
          </w:p>
        </w:tc>
      </w:tr>
      <w:tr w:rsidR="004D154D" w:rsidRPr="00636A1A" w14:paraId="471F4AC5" w14:textId="77777777" w:rsidTr="00655444">
        <w:trPr>
          <w:trHeight w:val="57"/>
          <w:jc w:val="center"/>
        </w:trPr>
        <w:tc>
          <w:tcPr>
            <w:tcW w:w="923" w:type="pct"/>
          </w:tcPr>
          <w:p w14:paraId="240758F9" w14:textId="77777777" w:rsidR="004D154D" w:rsidRPr="00636A1A" w:rsidRDefault="004D154D" w:rsidP="0046523B">
            <w:pPr>
              <w:spacing w:after="0" w:line="240" w:lineRule="auto"/>
              <w:rPr>
                <w:rFonts w:ascii="Times New Roman" w:eastAsiaTheme="minorHAnsi" w:hAnsi="Times New Roman" w:cs="Times New Roman"/>
                <w:color w:val="000000"/>
                <w:sz w:val="24"/>
                <w:szCs w:val="24"/>
              </w:rPr>
            </w:pPr>
            <w:r w:rsidRPr="00636A1A">
              <w:rPr>
                <w:rFonts w:ascii="Times New Roman" w:eastAsiaTheme="minorHAnsi" w:hAnsi="Times New Roman" w:cs="Times New Roman"/>
                <w:color w:val="000000"/>
                <w:sz w:val="24"/>
                <w:szCs w:val="24"/>
              </w:rPr>
              <w:t xml:space="preserve">Mokymosi pasiekimų vertinimo kriterijai </w:t>
            </w:r>
          </w:p>
        </w:tc>
        <w:tc>
          <w:tcPr>
            <w:tcW w:w="4077" w:type="pct"/>
            <w:gridSpan w:val="2"/>
          </w:tcPr>
          <w:p w14:paraId="48ECFFD4" w14:textId="77777777" w:rsidR="004D154D" w:rsidRPr="009B3D50" w:rsidRDefault="004D154D" w:rsidP="0046523B">
            <w:pPr>
              <w:spacing w:after="0" w:line="240" w:lineRule="auto"/>
              <w:jc w:val="both"/>
              <w:rPr>
                <w:rFonts w:ascii="Times New Roman" w:eastAsiaTheme="minorHAnsi" w:hAnsi="Times New Roman" w:cs="Times New Roman"/>
                <w:sz w:val="24"/>
                <w:szCs w:val="24"/>
              </w:rPr>
            </w:pPr>
            <w:r w:rsidRPr="009B3D50">
              <w:rPr>
                <w:rFonts w:ascii="Times New Roman" w:hAnsi="Times New Roman" w:cs="Times New Roman"/>
                <w:sz w:val="24"/>
                <w:szCs w:val="24"/>
              </w:rPr>
              <w:t>Apibūdinti finansinio gyvenimo ciklo ir jo planavimo ypatumai. Paaiškinta asmeninių finansų valdymo svarba. Išanalizuoti pinigų procesai ir jų paskirstymas. Nustatyti asmeninių finansų tikslai. Paaiškintos asmeninių finansų valdymo strategijos, paaiškinti principai, būdai ir metodai. Palygintos pajamos ir išlaidos. Nustatyti šeimos ir asmens poreikiai, vartojimo ypatumai, pagrindinės namų ūkio veiklos ir alternatyvios galimybės. Paaiškintos Lietuvos ir ES mokesčių si</w:t>
            </w:r>
            <w:r>
              <w:rPr>
                <w:rFonts w:ascii="Times New Roman" w:hAnsi="Times New Roman" w:cs="Times New Roman"/>
                <w:sz w:val="24"/>
                <w:szCs w:val="24"/>
              </w:rPr>
              <w:t>s</w:t>
            </w:r>
            <w:r w:rsidRPr="009B3D50">
              <w:rPr>
                <w:rFonts w:ascii="Times New Roman" w:hAnsi="Times New Roman" w:cs="Times New Roman"/>
                <w:sz w:val="24"/>
                <w:szCs w:val="24"/>
              </w:rPr>
              <w:t>temos ir jų įtaka namų ūkio biudžetui. Apskaičiuoti mokesčiai planuojant išlaidas. Nustatyti tinkami turto finansavimo šaltiniai. Parinktos tinkamos taupymo priemonės. Nustatyta taupymo įtaka asmeninių finansų valdymui. Sudarytas namų ūkio biudžetas. Apibūdintos rizikų rūšys, finansinės rizikos valdymas, rizikos mažinimo būdai ir rizikos išskaidymo galimybės. Parinktos alternatyvios finansinės priemonės investicijoms. Parinkta tinkama rizikos valdymo strategija.</w:t>
            </w:r>
          </w:p>
        </w:tc>
      </w:tr>
      <w:tr w:rsidR="004D154D" w:rsidRPr="00636A1A" w14:paraId="7062EB99" w14:textId="77777777" w:rsidTr="00655444">
        <w:trPr>
          <w:trHeight w:val="265"/>
          <w:jc w:val="center"/>
        </w:trPr>
        <w:tc>
          <w:tcPr>
            <w:tcW w:w="923" w:type="pct"/>
          </w:tcPr>
          <w:p w14:paraId="168450D8" w14:textId="77777777" w:rsidR="004D154D" w:rsidRPr="00636A1A" w:rsidRDefault="004D154D" w:rsidP="0046523B">
            <w:pPr>
              <w:spacing w:after="0" w:line="240" w:lineRule="auto"/>
              <w:rPr>
                <w:rFonts w:ascii="Times New Roman" w:eastAsiaTheme="minorHAnsi" w:hAnsi="Times New Roman" w:cs="Times New Roman"/>
                <w:color w:val="000000"/>
                <w:sz w:val="24"/>
                <w:szCs w:val="24"/>
              </w:rPr>
            </w:pPr>
            <w:r w:rsidRPr="00636A1A">
              <w:rPr>
                <w:rFonts w:ascii="Times New Roman" w:eastAsiaTheme="minorHAnsi" w:hAnsi="Times New Roman" w:cs="Times New Roman"/>
                <w:color w:val="000000"/>
                <w:sz w:val="24"/>
                <w:szCs w:val="24"/>
              </w:rPr>
              <w:lastRenderedPageBreak/>
              <w:t>Reikalavimai mokymui skirtiems metodiniams ir materialiesiems ištekliams</w:t>
            </w:r>
          </w:p>
        </w:tc>
        <w:tc>
          <w:tcPr>
            <w:tcW w:w="4077" w:type="pct"/>
            <w:gridSpan w:val="2"/>
          </w:tcPr>
          <w:p w14:paraId="6D1E29CF" w14:textId="77777777" w:rsidR="004D154D" w:rsidRPr="009B3D50" w:rsidRDefault="004D154D" w:rsidP="0046523B">
            <w:pPr>
              <w:spacing w:after="0" w:line="240" w:lineRule="auto"/>
              <w:rPr>
                <w:rFonts w:ascii="Times New Roman" w:hAnsi="Times New Roman" w:cs="Times New Roman"/>
                <w:i/>
                <w:sz w:val="24"/>
                <w:szCs w:val="24"/>
              </w:rPr>
            </w:pPr>
            <w:r w:rsidRPr="009B3D50">
              <w:rPr>
                <w:rFonts w:ascii="Times New Roman" w:hAnsi="Times New Roman" w:cs="Times New Roman"/>
                <w:i/>
                <w:sz w:val="24"/>
                <w:szCs w:val="24"/>
              </w:rPr>
              <w:t>Mokymo(si) medžiaga:</w:t>
            </w:r>
          </w:p>
          <w:p w14:paraId="3936E502" w14:textId="77777777" w:rsidR="004D154D" w:rsidRPr="00B627BB" w:rsidRDefault="004D154D" w:rsidP="0046523B">
            <w:pPr>
              <w:pStyle w:val="NoSpacing"/>
              <w:widowControl w:val="0"/>
              <w:numPr>
                <w:ilvl w:val="0"/>
                <w:numId w:val="7"/>
              </w:numPr>
              <w:tabs>
                <w:tab w:val="clear" w:pos="752"/>
              </w:tabs>
              <w:ind w:left="0" w:firstLine="0"/>
            </w:pPr>
            <w:r w:rsidRPr="009B3D50">
              <w:t>Vadovėliai ir kita mokomoji medžiaga</w:t>
            </w:r>
          </w:p>
          <w:p w14:paraId="09FC4C7B" w14:textId="77777777" w:rsidR="004D154D" w:rsidRPr="00B627BB" w:rsidRDefault="004D154D" w:rsidP="0046523B">
            <w:pPr>
              <w:pStyle w:val="NoSpacing"/>
              <w:widowControl w:val="0"/>
              <w:numPr>
                <w:ilvl w:val="0"/>
                <w:numId w:val="7"/>
              </w:numPr>
              <w:tabs>
                <w:tab w:val="clear" w:pos="752"/>
              </w:tabs>
              <w:ind w:left="0" w:firstLine="0"/>
            </w:pPr>
            <w:r w:rsidRPr="00B627BB">
              <w:t>Lietuvos Respublikos finansų įstaigų įstatymas</w:t>
            </w:r>
          </w:p>
          <w:p w14:paraId="2F0EBA7D" w14:textId="77777777" w:rsidR="004D154D" w:rsidRPr="00B627BB" w:rsidRDefault="004D154D" w:rsidP="0046523B">
            <w:pPr>
              <w:pStyle w:val="NoSpacing"/>
              <w:widowControl w:val="0"/>
              <w:numPr>
                <w:ilvl w:val="0"/>
                <w:numId w:val="7"/>
              </w:numPr>
              <w:tabs>
                <w:tab w:val="clear" w:pos="752"/>
              </w:tabs>
              <w:ind w:left="0" w:firstLine="0"/>
            </w:pPr>
            <w:r w:rsidRPr="00B627BB">
              <w:t>Lietuvos Respublikos bankų įstatymas</w:t>
            </w:r>
          </w:p>
          <w:p w14:paraId="631522E7" w14:textId="77777777" w:rsidR="004D154D" w:rsidRPr="00B627BB" w:rsidRDefault="004D154D" w:rsidP="0046523B">
            <w:pPr>
              <w:pStyle w:val="NoSpacing"/>
              <w:widowControl w:val="0"/>
              <w:numPr>
                <w:ilvl w:val="0"/>
                <w:numId w:val="7"/>
              </w:numPr>
              <w:tabs>
                <w:tab w:val="clear" w:pos="752"/>
              </w:tabs>
              <w:ind w:left="0" w:firstLine="0"/>
            </w:pPr>
            <w:r w:rsidRPr="00B627BB">
              <w:t>Lietuvos Respublikos kredito unijų įstatymas</w:t>
            </w:r>
          </w:p>
          <w:p w14:paraId="3CE8DB6C" w14:textId="77777777" w:rsidR="004D154D" w:rsidRPr="00B627BB" w:rsidRDefault="004D154D" w:rsidP="0046523B">
            <w:pPr>
              <w:pStyle w:val="NoSpacing"/>
              <w:widowControl w:val="0"/>
              <w:numPr>
                <w:ilvl w:val="0"/>
                <w:numId w:val="7"/>
              </w:numPr>
              <w:tabs>
                <w:tab w:val="clear" w:pos="752"/>
              </w:tabs>
              <w:ind w:left="0" w:firstLine="0"/>
            </w:pPr>
            <w:r w:rsidRPr="00B627BB">
              <w:t>Lietuvos Respublikos indėlių ir įsipareigojimų investuotojams draudimo įstatymas</w:t>
            </w:r>
          </w:p>
          <w:p w14:paraId="4C36A077" w14:textId="77777777" w:rsidR="004D154D" w:rsidRPr="00B627BB" w:rsidRDefault="004D154D" w:rsidP="0046523B">
            <w:pPr>
              <w:pStyle w:val="NoSpacing"/>
              <w:widowControl w:val="0"/>
              <w:numPr>
                <w:ilvl w:val="0"/>
                <w:numId w:val="7"/>
              </w:numPr>
              <w:tabs>
                <w:tab w:val="clear" w:pos="752"/>
              </w:tabs>
              <w:ind w:left="0" w:firstLine="0"/>
            </w:pPr>
            <w:r w:rsidRPr="00B627BB">
              <w:t>Lietuvos Respublikos centrinės kredito unijos įstatymas</w:t>
            </w:r>
          </w:p>
          <w:p w14:paraId="66B6D416" w14:textId="77777777" w:rsidR="004D154D" w:rsidRPr="00B627BB" w:rsidRDefault="004D154D" w:rsidP="0046523B">
            <w:pPr>
              <w:pStyle w:val="NoSpacing"/>
              <w:widowControl w:val="0"/>
              <w:numPr>
                <w:ilvl w:val="0"/>
                <w:numId w:val="7"/>
              </w:numPr>
              <w:tabs>
                <w:tab w:val="clear" w:pos="752"/>
              </w:tabs>
              <w:ind w:left="0" w:firstLine="0"/>
            </w:pPr>
            <w:r w:rsidRPr="00B627BB">
              <w:t>Lietuvos Respublikos mokėjimų įstatymas</w:t>
            </w:r>
          </w:p>
          <w:p w14:paraId="0EF34E8D" w14:textId="77777777" w:rsidR="004D154D" w:rsidRPr="00B627BB" w:rsidRDefault="004D154D" w:rsidP="0046523B">
            <w:pPr>
              <w:pStyle w:val="NoSpacing"/>
              <w:widowControl w:val="0"/>
              <w:numPr>
                <w:ilvl w:val="0"/>
                <w:numId w:val="7"/>
              </w:numPr>
              <w:tabs>
                <w:tab w:val="clear" w:pos="752"/>
              </w:tabs>
              <w:ind w:left="0" w:firstLine="0"/>
            </w:pPr>
            <w:r w:rsidRPr="00B627BB">
              <w:t>Lietuvos Respublikos mokėjimo įstaigų įstatymas</w:t>
            </w:r>
          </w:p>
          <w:p w14:paraId="271922AF" w14:textId="77777777" w:rsidR="004D154D" w:rsidRPr="00B627BB" w:rsidRDefault="004D154D" w:rsidP="0046523B">
            <w:pPr>
              <w:pStyle w:val="NoSpacing"/>
              <w:widowControl w:val="0"/>
              <w:numPr>
                <w:ilvl w:val="0"/>
                <w:numId w:val="7"/>
              </w:numPr>
              <w:tabs>
                <w:tab w:val="clear" w:pos="752"/>
              </w:tabs>
              <w:ind w:left="0" w:firstLine="0"/>
            </w:pPr>
            <w:r w:rsidRPr="00B627BB">
              <w:t>Lietuvos Respublikos vertybinių popierių įstatymas</w:t>
            </w:r>
          </w:p>
          <w:p w14:paraId="0A54548A" w14:textId="77777777" w:rsidR="004D154D" w:rsidRPr="00B627BB" w:rsidRDefault="004D154D" w:rsidP="0046523B">
            <w:pPr>
              <w:pStyle w:val="NoSpacing"/>
              <w:widowControl w:val="0"/>
              <w:numPr>
                <w:ilvl w:val="0"/>
                <w:numId w:val="7"/>
              </w:numPr>
              <w:tabs>
                <w:tab w:val="clear" w:pos="752"/>
              </w:tabs>
              <w:ind w:left="0" w:firstLine="0"/>
            </w:pPr>
            <w:r w:rsidRPr="00B627BB">
              <w:t>Lietuvos Respublikos finansinių priemonių rinkų įstatymas</w:t>
            </w:r>
          </w:p>
          <w:p w14:paraId="603BF81D" w14:textId="77777777" w:rsidR="004D154D" w:rsidRPr="00B627BB" w:rsidRDefault="004D154D" w:rsidP="0046523B">
            <w:pPr>
              <w:pStyle w:val="NoSpacing"/>
              <w:widowControl w:val="0"/>
              <w:numPr>
                <w:ilvl w:val="0"/>
                <w:numId w:val="7"/>
              </w:numPr>
              <w:tabs>
                <w:tab w:val="clear" w:pos="752"/>
              </w:tabs>
              <w:ind w:left="0" w:firstLine="0"/>
            </w:pPr>
            <w:r w:rsidRPr="00B627BB">
              <w:t>Lietuvos Respublikos kolektyvinio investavimo subjektų įstatymas</w:t>
            </w:r>
          </w:p>
          <w:p w14:paraId="77AA6366" w14:textId="77777777" w:rsidR="004D154D" w:rsidRPr="00B627BB" w:rsidRDefault="004D154D" w:rsidP="0046523B">
            <w:pPr>
              <w:pStyle w:val="NoSpacing"/>
              <w:widowControl w:val="0"/>
              <w:numPr>
                <w:ilvl w:val="0"/>
                <w:numId w:val="7"/>
              </w:numPr>
              <w:tabs>
                <w:tab w:val="clear" w:pos="752"/>
              </w:tabs>
              <w:ind w:left="0" w:firstLine="0"/>
            </w:pPr>
            <w:r w:rsidRPr="00B627BB">
              <w:t>Lietuvos Respublikos informuotiesiems investuotojams skirtų kolektyvinio investavimo subjektų  įstatymas</w:t>
            </w:r>
          </w:p>
          <w:p w14:paraId="5EB42B5A" w14:textId="77777777" w:rsidR="004D154D" w:rsidRPr="00B627BB" w:rsidRDefault="004D154D" w:rsidP="0046523B">
            <w:pPr>
              <w:pStyle w:val="NoSpacing"/>
              <w:widowControl w:val="0"/>
              <w:numPr>
                <w:ilvl w:val="0"/>
                <w:numId w:val="7"/>
              </w:numPr>
              <w:tabs>
                <w:tab w:val="clear" w:pos="752"/>
              </w:tabs>
              <w:ind w:left="0" w:firstLine="0"/>
            </w:pPr>
            <w:r w:rsidRPr="00B627BB">
              <w:t>Lietuvos Respublikos profesionaliesiems investuotojams skirtų kolektyvinio investavimo subjektų  įstatymas</w:t>
            </w:r>
          </w:p>
          <w:p w14:paraId="40EFF9BB" w14:textId="77777777" w:rsidR="004D154D" w:rsidRPr="00B627BB" w:rsidRDefault="004D154D" w:rsidP="0046523B">
            <w:pPr>
              <w:pStyle w:val="NoSpacing"/>
              <w:widowControl w:val="0"/>
              <w:numPr>
                <w:ilvl w:val="0"/>
                <w:numId w:val="7"/>
              </w:numPr>
              <w:tabs>
                <w:tab w:val="clear" w:pos="752"/>
              </w:tabs>
              <w:ind w:left="0" w:firstLine="0"/>
            </w:pPr>
            <w:r w:rsidRPr="00B627BB">
              <w:t>Lietuvos Respublikos draudimo įstatymas</w:t>
            </w:r>
          </w:p>
          <w:p w14:paraId="514C5333" w14:textId="77777777" w:rsidR="004D154D" w:rsidRPr="00B627BB" w:rsidRDefault="004D154D" w:rsidP="0046523B">
            <w:pPr>
              <w:pStyle w:val="NoSpacing"/>
              <w:widowControl w:val="0"/>
              <w:numPr>
                <w:ilvl w:val="0"/>
                <w:numId w:val="7"/>
              </w:numPr>
              <w:tabs>
                <w:tab w:val="clear" w:pos="752"/>
              </w:tabs>
              <w:ind w:left="0" w:firstLine="0"/>
            </w:pPr>
            <w:r w:rsidRPr="00B627BB">
              <w:t>Lietuvos Respublikos valiutos keityklos operatorių įstatymas</w:t>
            </w:r>
          </w:p>
          <w:p w14:paraId="7820A450" w14:textId="77777777" w:rsidR="004D154D" w:rsidRPr="00B627BB" w:rsidRDefault="004D154D" w:rsidP="0046523B">
            <w:pPr>
              <w:pStyle w:val="NoSpacing"/>
              <w:widowControl w:val="0"/>
              <w:numPr>
                <w:ilvl w:val="0"/>
                <w:numId w:val="7"/>
              </w:numPr>
              <w:tabs>
                <w:tab w:val="clear" w:pos="752"/>
              </w:tabs>
              <w:ind w:left="0" w:firstLine="0"/>
            </w:pPr>
            <w:r w:rsidRPr="00B627BB">
              <w:t>Lietuvos Respublikos vartojimo kredito įstatymas</w:t>
            </w:r>
          </w:p>
          <w:p w14:paraId="174C9AA2" w14:textId="77777777" w:rsidR="004D154D" w:rsidRPr="00B627BB" w:rsidRDefault="004D154D" w:rsidP="0046523B">
            <w:pPr>
              <w:pStyle w:val="NoSpacing"/>
              <w:widowControl w:val="0"/>
              <w:numPr>
                <w:ilvl w:val="0"/>
                <w:numId w:val="7"/>
              </w:numPr>
              <w:tabs>
                <w:tab w:val="clear" w:pos="752"/>
              </w:tabs>
              <w:ind w:left="0" w:firstLine="0"/>
            </w:pPr>
            <w:r w:rsidRPr="00B627BB">
              <w:t>Lietuvos Respublikos atsiskaitymų baigtinumo mokėjimo ir vertybinių popierių atsiskaitymo sistemose įstatymas</w:t>
            </w:r>
          </w:p>
          <w:p w14:paraId="70D4FF35" w14:textId="77777777" w:rsidR="004D154D" w:rsidRPr="009B3D50" w:rsidRDefault="004D154D" w:rsidP="0046523B">
            <w:pPr>
              <w:pStyle w:val="NoSpacing"/>
              <w:widowControl w:val="0"/>
              <w:numPr>
                <w:ilvl w:val="0"/>
                <w:numId w:val="7"/>
              </w:numPr>
              <w:tabs>
                <w:tab w:val="clear" w:pos="752"/>
              </w:tabs>
              <w:ind w:left="0" w:firstLine="0"/>
            </w:pPr>
            <w:r w:rsidRPr="00B627BB">
              <w:t>Lietuvos Respublikos finansinio užtikrinimo susitarimų įstatymas</w:t>
            </w:r>
          </w:p>
          <w:p w14:paraId="364F8399" w14:textId="77777777" w:rsidR="004D154D" w:rsidRPr="009B3D50" w:rsidRDefault="004D154D" w:rsidP="0046523B">
            <w:pPr>
              <w:pStyle w:val="NoSpacing"/>
              <w:widowControl w:val="0"/>
              <w:numPr>
                <w:ilvl w:val="0"/>
                <w:numId w:val="7"/>
              </w:numPr>
              <w:tabs>
                <w:tab w:val="clear" w:pos="752"/>
              </w:tabs>
              <w:ind w:left="0" w:firstLine="0"/>
            </w:pPr>
            <w:r w:rsidRPr="009B3D50">
              <w:t>Testas turimiems gebėjimams vertinti</w:t>
            </w:r>
          </w:p>
          <w:p w14:paraId="23785B6D" w14:textId="77777777" w:rsidR="004D154D" w:rsidRPr="009B3D50" w:rsidRDefault="004D154D" w:rsidP="0046523B">
            <w:pPr>
              <w:spacing w:after="0" w:line="240" w:lineRule="auto"/>
              <w:rPr>
                <w:rFonts w:ascii="Times New Roman" w:hAnsi="Times New Roman" w:cs="Times New Roman"/>
                <w:i/>
                <w:sz w:val="24"/>
                <w:szCs w:val="24"/>
              </w:rPr>
            </w:pPr>
            <w:r w:rsidRPr="009B3D50">
              <w:rPr>
                <w:rFonts w:ascii="Times New Roman" w:hAnsi="Times New Roman" w:cs="Times New Roman"/>
                <w:i/>
                <w:sz w:val="24"/>
                <w:szCs w:val="24"/>
              </w:rPr>
              <w:t>Mokymo(si) priemonės:</w:t>
            </w:r>
          </w:p>
          <w:p w14:paraId="5B582C14" w14:textId="77777777" w:rsidR="004D154D" w:rsidRPr="009B3D50" w:rsidRDefault="004D154D" w:rsidP="0046523B">
            <w:pPr>
              <w:pStyle w:val="NoSpacing"/>
              <w:widowControl w:val="0"/>
              <w:numPr>
                <w:ilvl w:val="0"/>
                <w:numId w:val="7"/>
              </w:numPr>
              <w:tabs>
                <w:tab w:val="clear" w:pos="752"/>
              </w:tabs>
              <w:ind w:left="0" w:firstLine="0"/>
            </w:pPr>
            <w:r w:rsidRPr="009B3D50">
              <w:t>Techninės priemonės mokymo(si) medžiagai iliustruoti, vizualizuoti, pristatyti</w:t>
            </w:r>
          </w:p>
          <w:p w14:paraId="609FE00B" w14:textId="77777777" w:rsidR="004D154D" w:rsidRPr="009B3D50" w:rsidRDefault="004D154D" w:rsidP="0046523B">
            <w:pPr>
              <w:pStyle w:val="NoSpacing"/>
              <w:widowControl w:val="0"/>
              <w:numPr>
                <w:ilvl w:val="0"/>
                <w:numId w:val="7"/>
              </w:numPr>
              <w:tabs>
                <w:tab w:val="clear" w:pos="752"/>
              </w:tabs>
              <w:ind w:left="0" w:firstLine="0"/>
              <w:rPr>
                <w:rFonts w:eastAsiaTheme="minorHAnsi"/>
              </w:rPr>
            </w:pPr>
            <w:r w:rsidRPr="009B3D50">
              <w:t xml:space="preserve">Duomenų apdorojimo ir biuro programinė įranga, kita biuro įranga </w:t>
            </w:r>
          </w:p>
        </w:tc>
      </w:tr>
      <w:tr w:rsidR="004D154D" w:rsidRPr="00636A1A" w14:paraId="1DC6A53C" w14:textId="77777777" w:rsidTr="00655444">
        <w:trPr>
          <w:trHeight w:val="57"/>
          <w:jc w:val="center"/>
        </w:trPr>
        <w:tc>
          <w:tcPr>
            <w:tcW w:w="923" w:type="pct"/>
          </w:tcPr>
          <w:p w14:paraId="1DF5321D" w14:textId="77777777" w:rsidR="004D154D" w:rsidRPr="00636A1A" w:rsidRDefault="004D154D" w:rsidP="0046523B">
            <w:pPr>
              <w:spacing w:after="0" w:line="240" w:lineRule="auto"/>
              <w:rPr>
                <w:rFonts w:ascii="Times New Roman" w:eastAsiaTheme="minorHAnsi" w:hAnsi="Times New Roman" w:cs="Times New Roman"/>
                <w:color w:val="000000"/>
                <w:sz w:val="24"/>
                <w:szCs w:val="24"/>
              </w:rPr>
            </w:pPr>
            <w:r w:rsidRPr="00636A1A">
              <w:rPr>
                <w:rFonts w:ascii="Times New Roman" w:eastAsiaTheme="minorHAnsi" w:hAnsi="Times New Roman" w:cs="Times New Roman"/>
                <w:color w:val="000000"/>
                <w:sz w:val="24"/>
                <w:szCs w:val="24"/>
              </w:rPr>
              <w:t>Reikalavimai teorinio ir praktinio mokymo vietai</w:t>
            </w:r>
          </w:p>
        </w:tc>
        <w:tc>
          <w:tcPr>
            <w:tcW w:w="4077" w:type="pct"/>
            <w:gridSpan w:val="2"/>
          </w:tcPr>
          <w:p w14:paraId="10BB0E8A" w14:textId="77777777" w:rsidR="00B627BB" w:rsidRDefault="004D154D" w:rsidP="0046523B">
            <w:pPr>
              <w:widowControl w:val="0"/>
              <w:spacing w:after="0" w:line="240" w:lineRule="auto"/>
              <w:rPr>
                <w:rFonts w:ascii="Times New Roman" w:hAnsi="Times New Roman" w:cs="Times New Roman"/>
                <w:sz w:val="24"/>
                <w:szCs w:val="24"/>
              </w:rPr>
            </w:pPr>
            <w:r w:rsidRPr="009B3D50">
              <w:rPr>
                <w:rFonts w:ascii="Times New Roman" w:hAnsi="Times New Roman" w:cs="Times New Roman"/>
                <w:sz w:val="24"/>
                <w:szCs w:val="24"/>
              </w:rPr>
              <w:t>Klasė ar kita mokymui(si) pritaikyta patalpa su techninėmis priemonėmis (kompiuteriu, vaizdo projektoriumi, lenta) mokymo(si) medžiagai pateikti.</w:t>
            </w:r>
          </w:p>
          <w:p w14:paraId="522CDA7C" w14:textId="7B769EE7" w:rsidR="004D154D" w:rsidRPr="009B3D50" w:rsidRDefault="004D154D" w:rsidP="0046523B">
            <w:pPr>
              <w:widowControl w:val="0"/>
              <w:spacing w:after="0" w:line="240" w:lineRule="auto"/>
              <w:rPr>
                <w:rFonts w:ascii="Times New Roman" w:eastAsiaTheme="minorHAnsi" w:hAnsi="Times New Roman" w:cs="Times New Roman"/>
                <w:sz w:val="24"/>
                <w:szCs w:val="24"/>
              </w:rPr>
            </w:pPr>
            <w:r w:rsidRPr="009B3D50">
              <w:rPr>
                <w:rFonts w:ascii="Times New Roman" w:hAnsi="Times New Roman" w:cs="Times New Roman"/>
                <w:sz w:val="24"/>
                <w:szCs w:val="24"/>
              </w:rPr>
              <w:t>Praktinio mokymo klasė (patalpa), aprūpinta kompiuteriais bei biuro technika.</w:t>
            </w:r>
          </w:p>
        </w:tc>
      </w:tr>
      <w:tr w:rsidR="004D154D" w:rsidRPr="00636A1A" w14:paraId="30DAC3BB" w14:textId="77777777" w:rsidTr="00655444">
        <w:trPr>
          <w:trHeight w:val="57"/>
          <w:jc w:val="center"/>
        </w:trPr>
        <w:tc>
          <w:tcPr>
            <w:tcW w:w="923" w:type="pct"/>
          </w:tcPr>
          <w:p w14:paraId="68BDAEA2" w14:textId="77777777" w:rsidR="004D154D" w:rsidRPr="00636A1A" w:rsidRDefault="004D154D" w:rsidP="0046523B">
            <w:pPr>
              <w:spacing w:after="0" w:line="240" w:lineRule="auto"/>
              <w:rPr>
                <w:rFonts w:ascii="Times New Roman" w:eastAsiaTheme="minorHAnsi" w:hAnsi="Times New Roman" w:cs="Times New Roman"/>
                <w:color w:val="000000"/>
                <w:sz w:val="24"/>
                <w:szCs w:val="24"/>
              </w:rPr>
            </w:pPr>
            <w:r w:rsidRPr="00636A1A">
              <w:rPr>
                <w:rFonts w:ascii="Times New Roman" w:eastAsiaTheme="minorHAnsi" w:hAnsi="Times New Roman" w:cs="Times New Roman"/>
                <w:color w:val="000000"/>
                <w:sz w:val="24"/>
                <w:szCs w:val="24"/>
              </w:rPr>
              <w:t>Kvalifikaciniai ir kompetencijų reikalavimai mokytojams (dėstytojams)</w:t>
            </w:r>
          </w:p>
        </w:tc>
        <w:tc>
          <w:tcPr>
            <w:tcW w:w="4077" w:type="pct"/>
            <w:gridSpan w:val="2"/>
          </w:tcPr>
          <w:p w14:paraId="629C3C66" w14:textId="77777777" w:rsidR="00B627BB" w:rsidRDefault="00231937" w:rsidP="0046523B">
            <w:pPr>
              <w:widowControl w:val="0"/>
              <w:spacing w:after="0" w:line="240" w:lineRule="auto"/>
              <w:jc w:val="both"/>
              <w:rPr>
                <w:rFonts w:ascii="Times New Roman" w:hAnsi="Times New Roman" w:cs="Times New Roman"/>
                <w:sz w:val="24"/>
                <w:szCs w:val="24"/>
              </w:rPr>
            </w:pPr>
            <w:r w:rsidRPr="009B3D50">
              <w:rPr>
                <w:rFonts w:ascii="Times New Roman" w:hAnsi="Times New Roman" w:cs="Times New Roman"/>
                <w:sz w:val="24"/>
                <w:szCs w:val="24"/>
              </w:rPr>
              <w:t>Modulį gali vesti mokytojas, turintis:</w:t>
            </w:r>
          </w:p>
          <w:p w14:paraId="63880680" w14:textId="0FA25B7B" w:rsidR="00231937" w:rsidRPr="00884C02" w:rsidRDefault="00231937" w:rsidP="0046523B">
            <w:pPr>
              <w:widowControl w:val="0"/>
              <w:spacing w:after="0" w:line="240" w:lineRule="auto"/>
              <w:jc w:val="both"/>
              <w:rPr>
                <w:rFonts w:ascii="Times New Roman" w:hAnsi="Times New Roman" w:cs="Times New Roman"/>
                <w:sz w:val="24"/>
                <w:szCs w:val="24"/>
              </w:rPr>
            </w:pPr>
            <w:r w:rsidRPr="00884C02">
              <w:rPr>
                <w:rFonts w:ascii="Times New Roman" w:hAnsi="Times New Roman" w:cs="Times New Roman"/>
                <w:sz w:val="24"/>
                <w:szCs w:val="24"/>
              </w:rPr>
              <w:t>1) Lietuvos Respublikos švietimo įstatyme ir Reikalavimų mokytojų kvalifikacijai apraše, patvirtintame Lietuvos Respublikos švietimo</w:t>
            </w:r>
            <w:r>
              <w:rPr>
                <w:rFonts w:ascii="Times New Roman" w:hAnsi="Times New Roman" w:cs="Times New Roman"/>
                <w:sz w:val="24"/>
                <w:szCs w:val="24"/>
              </w:rPr>
              <w:t xml:space="preserve">, </w:t>
            </w:r>
            <w:r w:rsidRPr="00884C02">
              <w:rPr>
                <w:rFonts w:ascii="Times New Roman" w:hAnsi="Times New Roman" w:cs="Times New Roman"/>
                <w:sz w:val="24"/>
                <w:szCs w:val="24"/>
              </w:rPr>
              <w:t>mokslo</w:t>
            </w:r>
            <w:r>
              <w:rPr>
                <w:rFonts w:ascii="Times New Roman" w:hAnsi="Times New Roman" w:cs="Times New Roman"/>
                <w:sz w:val="24"/>
                <w:szCs w:val="24"/>
              </w:rPr>
              <w:t xml:space="preserve"> ir sporto</w:t>
            </w:r>
            <w:r w:rsidRPr="00884C02">
              <w:rPr>
                <w:rFonts w:ascii="Times New Roman" w:hAnsi="Times New Roman" w:cs="Times New Roman"/>
                <w:sz w:val="24"/>
                <w:szCs w:val="24"/>
              </w:rPr>
              <w:t xml:space="preserve"> ministro 2014 m. rugpjūčio 29 d. įsakymu Nr. V-774 „Dėl Reikalavimų mokytojų kvalifikacijai aprašo patvirtinimo“, nustatytą išsilavinimą ir kvalifikaciją;</w:t>
            </w:r>
          </w:p>
          <w:p w14:paraId="3089C86D" w14:textId="54107B72" w:rsidR="004D154D" w:rsidRPr="009B3D50" w:rsidRDefault="00231937" w:rsidP="0046523B">
            <w:pPr>
              <w:spacing w:after="0" w:line="240" w:lineRule="auto"/>
              <w:jc w:val="both"/>
              <w:rPr>
                <w:rFonts w:ascii="Times New Roman" w:eastAsiaTheme="minorHAnsi" w:hAnsi="Times New Roman" w:cs="Times New Roman"/>
                <w:sz w:val="24"/>
                <w:szCs w:val="24"/>
              </w:rPr>
            </w:pPr>
            <w:r w:rsidRPr="00884C02">
              <w:rPr>
                <w:rFonts w:ascii="Times New Roman" w:eastAsia="Times New Roman" w:hAnsi="Times New Roman" w:cs="Times New Roman"/>
                <w:sz w:val="24"/>
                <w:szCs w:val="24"/>
                <w:lang w:eastAsia="lt-LT"/>
              </w:rPr>
              <w:lastRenderedPageBreak/>
              <w:t xml:space="preserve">2) </w:t>
            </w:r>
            <w:r>
              <w:rPr>
                <w:rFonts w:ascii="Times New Roman" w:eastAsia="Times New Roman" w:hAnsi="Times New Roman" w:cs="Times New Roman"/>
                <w:sz w:val="24"/>
                <w:szCs w:val="24"/>
                <w:lang w:eastAsia="lt-LT"/>
              </w:rPr>
              <w:t>Ekonomikos ar finansų</w:t>
            </w:r>
            <w:r w:rsidRPr="00884C02">
              <w:rPr>
                <w:rFonts w:ascii="Times New Roman" w:eastAsia="Times New Roman" w:hAnsi="Times New Roman" w:cs="Times New Roman"/>
                <w:sz w:val="24"/>
                <w:szCs w:val="24"/>
                <w:lang w:eastAsia="lt-LT"/>
              </w:rPr>
              <w:t xml:space="preserve"> studijų krypties ar lygiavertį išsilavinimą arba vidurinį išsilavinimą ir </w:t>
            </w:r>
            <w:r w:rsidRPr="009B3D50">
              <w:rPr>
                <w:rFonts w:ascii="Times New Roman" w:hAnsi="Times New Roman" w:cs="Times New Roman"/>
                <w:sz w:val="24"/>
                <w:szCs w:val="24"/>
              </w:rPr>
              <w:t>finansinių paslaugų teikėjo</w:t>
            </w:r>
            <w:r w:rsidRPr="00884C02">
              <w:rPr>
                <w:rFonts w:ascii="Times New Roman" w:eastAsia="Times New Roman" w:hAnsi="Times New Roman" w:cs="Times New Roman"/>
                <w:sz w:val="24"/>
                <w:szCs w:val="24"/>
                <w:lang w:eastAsia="lt-LT"/>
              </w:rPr>
              <w:t xml:space="preserve"> ar lygiavertę kvalifikaciją, ne mažesnę kaip 3 metų </w:t>
            </w:r>
            <w:r w:rsidRPr="009B3D50">
              <w:rPr>
                <w:rFonts w:ascii="Times New Roman" w:hAnsi="Times New Roman" w:cs="Times New Roman"/>
                <w:sz w:val="24"/>
                <w:szCs w:val="24"/>
                <w:shd w:val="clear" w:color="auto" w:fill="FFFFFF"/>
              </w:rPr>
              <w:t xml:space="preserve">finansinių paslaugų </w:t>
            </w:r>
            <w:r>
              <w:rPr>
                <w:rFonts w:ascii="Times New Roman" w:hAnsi="Times New Roman" w:cs="Times New Roman"/>
                <w:sz w:val="24"/>
                <w:szCs w:val="24"/>
                <w:shd w:val="clear" w:color="auto" w:fill="FFFFFF"/>
              </w:rPr>
              <w:t xml:space="preserve">teikimo </w:t>
            </w:r>
            <w:r w:rsidRPr="00884C02">
              <w:rPr>
                <w:rFonts w:ascii="Times New Roman" w:eastAsia="Times New Roman" w:hAnsi="Times New Roman" w:cs="Times New Roman"/>
                <w:sz w:val="24"/>
                <w:szCs w:val="24"/>
                <w:lang w:eastAsia="lt-LT"/>
              </w:rPr>
              <w:t>profesinės veiklos patirtį ir pedagoginių ir psichologinių žinių kurso baigimo pažymėjimą</w:t>
            </w:r>
            <w:r w:rsidR="00B627BB">
              <w:rPr>
                <w:rFonts w:ascii="Times New Roman" w:eastAsia="Times New Roman" w:hAnsi="Times New Roman" w:cs="Times New Roman"/>
                <w:sz w:val="24"/>
                <w:szCs w:val="24"/>
                <w:lang w:eastAsia="lt-LT"/>
              </w:rPr>
              <w:t>.</w:t>
            </w:r>
          </w:p>
        </w:tc>
      </w:tr>
    </w:tbl>
    <w:p w14:paraId="5393B75F" w14:textId="04D9A112" w:rsidR="004D154D" w:rsidRDefault="004D154D" w:rsidP="0046523B">
      <w:pPr>
        <w:spacing w:after="0" w:line="240" w:lineRule="auto"/>
        <w:rPr>
          <w:rFonts w:ascii="Times New Roman" w:eastAsiaTheme="minorHAnsi" w:hAnsi="Times New Roman" w:cs="Times New Roman"/>
          <w:b/>
          <w:bCs/>
          <w:color w:val="000000"/>
          <w:sz w:val="24"/>
          <w:szCs w:val="24"/>
        </w:rPr>
      </w:pPr>
    </w:p>
    <w:p w14:paraId="1EF3A914" w14:textId="77777777" w:rsidR="00AF6128" w:rsidRDefault="00AF6128" w:rsidP="0046523B">
      <w:pPr>
        <w:spacing w:after="0" w:line="240" w:lineRule="auto"/>
        <w:jc w:val="both"/>
        <w:rPr>
          <w:rFonts w:ascii="Times New Roman" w:hAnsi="Times New Roman"/>
        </w:rPr>
      </w:pPr>
      <w:r>
        <w:rPr>
          <w:rFonts w:ascii="Times New Roman" w:hAnsi="Times New Roman" w:cs="Times New Roman"/>
        </w:rPr>
        <w:t xml:space="preserve">Programa parengta įgyvendinant </w:t>
      </w:r>
      <w:r>
        <w:rPr>
          <w:rFonts w:ascii="Times New Roman" w:hAnsi="Times New Roman"/>
        </w:rPr>
        <w:t>Projektą „Suaugusiųjų švietimo sistemos plėtra suteikiant besimokantiems asmenims bendrąsias ir pagrindines kompetencijas“</w:t>
      </w:r>
    </w:p>
    <w:p w14:paraId="04AA24A2" w14:textId="77777777" w:rsidR="00AF6128" w:rsidRDefault="00AF6128" w:rsidP="0046523B">
      <w:pPr>
        <w:spacing w:after="0" w:line="240" w:lineRule="auto"/>
        <w:jc w:val="both"/>
        <w:rPr>
          <w:rFonts w:ascii="Times New Roman" w:hAnsi="Times New Roman"/>
          <w:b/>
        </w:rPr>
      </w:pPr>
      <w:r>
        <w:rPr>
          <w:rFonts w:ascii="Times New Roman" w:hAnsi="Times New Roman"/>
        </w:rPr>
        <w:t>Nr. 09.4.2-ESFA-V-715-01-0002</w:t>
      </w:r>
    </w:p>
    <w:p w14:paraId="4013FCB0" w14:textId="77777777" w:rsidR="00AF6128" w:rsidRDefault="00AF6128" w:rsidP="0046523B">
      <w:pPr>
        <w:spacing w:after="0" w:line="240" w:lineRule="auto"/>
        <w:rPr>
          <w:rFonts w:ascii="Times New Roman" w:eastAsiaTheme="minorHAnsi" w:hAnsi="Times New Roman" w:cs="Times New Roman"/>
          <w:b/>
          <w:bCs/>
          <w:color w:val="000000"/>
          <w:sz w:val="24"/>
          <w:szCs w:val="24"/>
        </w:rPr>
      </w:pPr>
    </w:p>
    <w:p w14:paraId="6D48952B" w14:textId="42610238" w:rsidR="004D154D" w:rsidRPr="00937C19" w:rsidRDefault="0003232D" w:rsidP="0046523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_______________________</w:t>
      </w:r>
    </w:p>
    <w:sectPr w:rsidR="004D154D" w:rsidRPr="00937C19" w:rsidSect="00AF6128">
      <w:pgSz w:w="16838" w:h="11906" w:orient="landscape" w:code="9"/>
      <w:pgMar w:top="1282" w:right="562" w:bottom="1152" w:left="562" w:header="288"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0F2F9" w14:textId="77777777" w:rsidR="00655444" w:rsidRDefault="00655444">
      <w:pPr>
        <w:spacing w:after="0" w:line="240" w:lineRule="auto"/>
      </w:pPr>
      <w:r>
        <w:separator/>
      </w:r>
    </w:p>
  </w:endnote>
  <w:endnote w:type="continuationSeparator" w:id="0">
    <w:p w14:paraId="64D52E90" w14:textId="77777777" w:rsidR="00655444" w:rsidRDefault="00655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0002AFF" w:usb1="C000247B" w:usb2="00000009" w:usb3="00000000" w:csb0="000001FF" w:csb1="00000000"/>
  </w:font>
  <w:font w:name="PT Sans">
    <w:altName w:val="Corbel"/>
    <w:charset w:val="4D"/>
    <w:family w:val="swiss"/>
    <w:pitch w:val="variable"/>
    <w:sig w:usb0="A00002EF" w:usb1="5000204B" w:usb2="00000000" w:usb3="00000000" w:csb0="00000097"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39">
    <w:altName w:val="Times New Roman"/>
    <w:charset w:val="BA"/>
    <w:family w:val="auto"/>
    <w:pitch w:val="variable"/>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69235045"/>
      <w:docPartObj>
        <w:docPartGallery w:val="Page Numbers (Bottom of Page)"/>
        <w:docPartUnique/>
      </w:docPartObj>
    </w:sdtPr>
    <w:sdtEndPr>
      <w:rPr>
        <w:rStyle w:val="PageNumber"/>
      </w:rPr>
    </w:sdtEndPr>
    <w:sdtContent>
      <w:p w14:paraId="2FEFDD42" w14:textId="77777777" w:rsidR="00655444" w:rsidRDefault="00655444" w:rsidP="00165A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07E8B2" w14:textId="77777777" w:rsidR="00655444" w:rsidRDefault="00655444" w:rsidP="00165A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12829944"/>
      <w:docPartObj>
        <w:docPartGallery w:val="Page Numbers (Bottom of Page)"/>
        <w:docPartUnique/>
      </w:docPartObj>
    </w:sdtPr>
    <w:sdtEndPr>
      <w:rPr>
        <w:rStyle w:val="PageNumber"/>
        <w:rFonts w:ascii="Times New Roman" w:hAnsi="Times New Roman" w:cs="Times New Roman"/>
      </w:rPr>
    </w:sdtEndPr>
    <w:sdtContent>
      <w:p w14:paraId="6986EBEC" w14:textId="7615690C" w:rsidR="00655444" w:rsidRPr="000715A3" w:rsidRDefault="00655444" w:rsidP="00165AB9">
        <w:pPr>
          <w:pStyle w:val="Footer"/>
          <w:framePr w:wrap="none" w:vAnchor="text" w:hAnchor="margin" w:xAlign="right" w:y="1"/>
          <w:rPr>
            <w:rStyle w:val="PageNumber"/>
            <w:rFonts w:ascii="Times New Roman" w:hAnsi="Times New Roman" w:cs="Times New Roman"/>
          </w:rPr>
        </w:pPr>
        <w:r w:rsidRPr="000715A3">
          <w:rPr>
            <w:rStyle w:val="PageNumber"/>
            <w:rFonts w:ascii="Times New Roman" w:hAnsi="Times New Roman" w:cs="Times New Roman"/>
          </w:rPr>
          <w:fldChar w:fldCharType="begin"/>
        </w:r>
        <w:r w:rsidRPr="000715A3">
          <w:rPr>
            <w:rStyle w:val="PageNumber"/>
            <w:rFonts w:ascii="Times New Roman" w:hAnsi="Times New Roman" w:cs="Times New Roman"/>
          </w:rPr>
          <w:instrText xml:space="preserve"> PAGE </w:instrText>
        </w:r>
        <w:r w:rsidRPr="000715A3">
          <w:rPr>
            <w:rStyle w:val="PageNumber"/>
            <w:rFonts w:ascii="Times New Roman" w:hAnsi="Times New Roman" w:cs="Times New Roman"/>
          </w:rPr>
          <w:fldChar w:fldCharType="separate"/>
        </w:r>
        <w:r w:rsidR="00B15E8A">
          <w:rPr>
            <w:rStyle w:val="PageNumber"/>
            <w:rFonts w:ascii="Times New Roman" w:hAnsi="Times New Roman" w:cs="Times New Roman"/>
            <w:noProof/>
          </w:rPr>
          <w:t>8</w:t>
        </w:r>
        <w:r w:rsidRPr="000715A3">
          <w:rPr>
            <w:rStyle w:val="PageNumber"/>
            <w:rFonts w:ascii="Times New Roman" w:hAnsi="Times New Roman" w:cs="Times New Roman"/>
          </w:rPr>
          <w:fldChar w:fldCharType="end"/>
        </w:r>
      </w:p>
    </w:sdtContent>
  </w:sdt>
  <w:p w14:paraId="7815B42B" w14:textId="77777777" w:rsidR="00655444" w:rsidRDefault="00655444" w:rsidP="00165AB9">
    <w:pPr>
      <w:pBdr>
        <w:top w:val="nil"/>
        <w:left w:val="nil"/>
        <w:bottom w:val="nil"/>
        <w:right w:val="nil"/>
        <w:between w:val="nil"/>
      </w:pBdr>
      <w:tabs>
        <w:tab w:val="center" w:pos="4819"/>
        <w:tab w:val="right" w:pos="9638"/>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649EE7" w14:textId="77777777" w:rsidR="00655444" w:rsidRDefault="00655444">
      <w:pPr>
        <w:spacing w:after="0" w:line="240" w:lineRule="auto"/>
      </w:pPr>
      <w:r>
        <w:separator/>
      </w:r>
    </w:p>
  </w:footnote>
  <w:footnote w:type="continuationSeparator" w:id="0">
    <w:p w14:paraId="30344A1E" w14:textId="77777777" w:rsidR="00655444" w:rsidRDefault="00655444">
      <w:pPr>
        <w:spacing w:after="0" w:line="240" w:lineRule="auto"/>
      </w:pPr>
      <w:r>
        <w:continuationSeparator/>
      </w:r>
    </w:p>
  </w:footnote>
  <w:footnote w:id="1">
    <w:p w14:paraId="64EE9A91" w14:textId="77777777" w:rsidR="00655444" w:rsidRPr="00D644AA" w:rsidRDefault="00655444" w:rsidP="004D154D">
      <w:pPr>
        <w:pStyle w:val="FootnoteText"/>
        <w:rPr>
          <w:rFonts w:ascii="Times New Roman" w:hAnsi="Times New Roman" w:cs="Times New Roman"/>
        </w:rPr>
      </w:pPr>
      <w:r w:rsidRPr="00D644AA">
        <w:rPr>
          <w:rStyle w:val="FootnoteReference"/>
          <w:rFonts w:ascii="Times New Roman" w:hAnsi="Times New Roman" w:cs="Times New Roman"/>
        </w:rPr>
        <w:footnoteRef/>
      </w:r>
      <w:r w:rsidRPr="00D644AA">
        <w:rPr>
          <w:rFonts w:ascii="Times New Roman" w:hAnsi="Times New Roman" w:cs="Times New Roman"/>
        </w:rPr>
        <w:t xml:space="preserve"> Pildoma, jei į programą įtraukiamas formaliojo profesinio mokymo modulinės programos modulis.</w:t>
      </w:r>
    </w:p>
  </w:footnote>
  <w:footnote w:id="2">
    <w:p w14:paraId="30AC8B76" w14:textId="77777777" w:rsidR="00655444" w:rsidRDefault="00655444" w:rsidP="004D154D">
      <w:pPr>
        <w:pStyle w:val="FootnoteText"/>
      </w:pPr>
      <w:r w:rsidRPr="00937C19">
        <w:rPr>
          <w:rStyle w:val="FootnoteReference"/>
          <w:rFonts w:ascii="Times New Roman" w:hAnsi="Times New Roman" w:cs="Times New Roman"/>
        </w:rPr>
        <w:footnoteRef/>
      </w:r>
      <w:r w:rsidRPr="00937C19">
        <w:rPr>
          <w:rFonts w:ascii="Times New Roman" w:hAnsi="Times New Roman" w:cs="Times New Roman"/>
        </w:rPr>
        <w:t xml:space="preserve"> Pildoma, jei į programą įtraukiamas formaliojo profesinio mokymo modulinės programos modulis.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A4D94" w14:textId="77777777" w:rsidR="00655444" w:rsidRPr="00445EF7" w:rsidRDefault="00655444" w:rsidP="00445E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6010"/>
    <w:multiLevelType w:val="hybridMultilevel"/>
    <w:tmpl w:val="AC720CD0"/>
    <w:lvl w:ilvl="0" w:tplc="04270001">
      <w:start w:val="1"/>
      <w:numFmt w:val="bullet"/>
      <w:lvlText w:val=""/>
      <w:lvlJc w:val="left"/>
      <w:pPr>
        <w:tabs>
          <w:tab w:val="num" w:pos="752"/>
        </w:tabs>
        <w:ind w:left="752" w:hanging="360"/>
      </w:pPr>
      <w:rPr>
        <w:rFonts w:ascii="Symbol" w:hAnsi="Symbol" w:hint="default"/>
      </w:rPr>
    </w:lvl>
    <w:lvl w:ilvl="1" w:tplc="04270003">
      <w:start w:val="1"/>
      <w:numFmt w:val="bullet"/>
      <w:lvlText w:val="o"/>
      <w:lvlJc w:val="left"/>
      <w:pPr>
        <w:tabs>
          <w:tab w:val="num" w:pos="1472"/>
        </w:tabs>
        <w:ind w:left="1472" w:hanging="360"/>
      </w:pPr>
      <w:rPr>
        <w:rFonts w:ascii="Courier New" w:hAnsi="Courier New" w:cs="Courier New" w:hint="default"/>
      </w:rPr>
    </w:lvl>
    <w:lvl w:ilvl="2" w:tplc="04270005">
      <w:start w:val="1"/>
      <w:numFmt w:val="bullet"/>
      <w:lvlText w:val=""/>
      <w:lvlJc w:val="left"/>
      <w:pPr>
        <w:tabs>
          <w:tab w:val="num" w:pos="2192"/>
        </w:tabs>
        <w:ind w:left="2192" w:hanging="360"/>
      </w:pPr>
      <w:rPr>
        <w:rFonts w:ascii="Wingdings" w:hAnsi="Wingdings" w:cs="Wingdings" w:hint="default"/>
      </w:rPr>
    </w:lvl>
    <w:lvl w:ilvl="3" w:tplc="04270001">
      <w:start w:val="1"/>
      <w:numFmt w:val="bullet"/>
      <w:lvlText w:val=""/>
      <w:lvlJc w:val="left"/>
      <w:pPr>
        <w:tabs>
          <w:tab w:val="num" w:pos="2912"/>
        </w:tabs>
        <w:ind w:left="2912" w:hanging="360"/>
      </w:pPr>
      <w:rPr>
        <w:rFonts w:ascii="Symbol" w:hAnsi="Symbol" w:cs="Symbol" w:hint="default"/>
      </w:rPr>
    </w:lvl>
    <w:lvl w:ilvl="4" w:tplc="04270003">
      <w:start w:val="1"/>
      <w:numFmt w:val="bullet"/>
      <w:lvlText w:val="o"/>
      <w:lvlJc w:val="left"/>
      <w:pPr>
        <w:tabs>
          <w:tab w:val="num" w:pos="3632"/>
        </w:tabs>
        <w:ind w:left="3632" w:hanging="360"/>
      </w:pPr>
      <w:rPr>
        <w:rFonts w:ascii="Courier New" w:hAnsi="Courier New" w:cs="Courier New" w:hint="default"/>
      </w:rPr>
    </w:lvl>
    <w:lvl w:ilvl="5" w:tplc="04270005">
      <w:start w:val="1"/>
      <w:numFmt w:val="bullet"/>
      <w:lvlText w:val=""/>
      <w:lvlJc w:val="left"/>
      <w:pPr>
        <w:tabs>
          <w:tab w:val="num" w:pos="4352"/>
        </w:tabs>
        <w:ind w:left="4352" w:hanging="360"/>
      </w:pPr>
      <w:rPr>
        <w:rFonts w:ascii="Wingdings" w:hAnsi="Wingdings" w:cs="Wingdings" w:hint="default"/>
      </w:rPr>
    </w:lvl>
    <w:lvl w:ilvl="6" w:tplc="04270001">
      <w:start w:val="1"/>
      <w:numFmt w:val="bullet"/>
      <w:lvlText w:val=""/>
      <w:lvlJc w:val="left"/>
      <w:pPr>
        <w:tabs>
          <w:tab w:val="num" w:pos="5072"/>
        </w:tabs>
        <w:ind w:left="5072" w:hanging="360"/>
      </w:pPr>
      <w:rPr>
        <w:rFonts w:ascii="Symbol" w:hAnsi="Symbol" w:cs="Symbol" w:hint="default"/>
      </w:rPr>
    </w:lvl>
    <w:lvl w:ilvl="7" w:tplc="04270003">
      <w:start w:val="1"/>
      <w:numFmt w:val="bullet"/>
      <w:lvlText w:val="o"/>
      <w:lvlJc w:val="left"/>
      <w:pPr>
        <w:tabs>
          <w:tab w:val="num" w:pos="5792"/>
        </w:tabs>
        <w:ind w:left="5792" w:hanging="360"/>
      </w:pPr>
      <w:rPr>
        <w:rFonts w:ascii="Courier New" w:hAnsi="Courier New" w:cs="Courier New" w:hint="default"/>
      </w:rPr>
    </w:lvl>
    <w:lvl w:ilvl="8" w:tplc="04270005">
      <w:start w:val="1"/>
      <w:numFmt w:val="bullet"/>
      <w:lvlText w:val=""/>
      <w:lvlJc w:val="left"/>
      <w:pPr>
        <w:tabs>
          <w:tab w:val="num" w:pos="6512"/>
        </w:tabs>
        <w:ind w:left="6512" w:hanging="360"/>
      </w:pPr>
      <w:rPr>
        <w:rFonts w:ascii="Wingdings" w:hAnsi="Wingdings" w:cs="Wingdings" w:hint="default"/>
      </w:rPr>
    </w:lvl>
  </w:abstractNum>
  <w:abstractNum w:abstractNumId="1" w15:restartNumberingAfterBreak="0">
    <w:nsid w:val="04596B3E"/>
    <w:multiLevelType w:val="hybridMultilevel"/>
    <w:tmpl w:val="E878F47A"/>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52B6E60"/>
    <w:multiLevelType w:val="hybridMultilevel"/>
    <w:tmpl w:val="4FDC0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D579D"/>
    <w:multiLevelType w:val="hybridMultilevel"/>
    <w:tmpl w:val="B81E04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A813173"/>
    <w:multiLevelType w:val="hybridMultilevel"/>
    <w:tmpl w:val="75C6C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032C0F"/>
    <w:multiLevelType w:val="hybridMultilevel"/>
    <w:tmpl w:val="D53AB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A00B59"/>
    <w:multiLevelType w:val="multilevel"/>
    <w:tmpl w:val="EA160A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CB046FA"/>
    <w:multiLevelType w:val="hybridMultilevel"/>
    <w:tmpl w:val="3920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8D4904"/>
    <w:multiLevelType w:val="hybridMultilevel"/>
    <w:tmpl w:val="E0D289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30EF0917"/>
    <w:multiLevelType w:val="multilevel"/>
    <w:tmpl w:val="C6C046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ED02794"/>
    <w:multiLevelType w:val="multilevel"/>
    <w:tmpl w:val="31805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D6B6096"/>
    <w:multiLevelType w:val="hybridMultilevel"/>
    <w:tmpl w:val="BD2021A0"/>
    <w:lvl w:ilvl="0" w:tplc="04090001">
      <w:start w:val="1"/>
      <w:numFmt w:val="bullet"/>
      <w:lvlText w:val=""/>
      <w:lvlJc w:val="left"/>
      <w:pPr>
        <w:tabs>
          <w:tab w:val="num" w:pos="752"/>
        </w:tabs>
        <w:ind w:left="752" w:hanging="360"/>
      </w:pPr>
      <w:rPr>
        <w:rFonts w:ascii="Symbol" w:hAnsi="Symbol" w:hint="default"/>
      </w:rPr>
    </w:lvl>
    <w:lvl w:ilvl="1" w:tplc="FFFFFFFF">
      <w:start w:val="1"/>
      <w:numFmt w:val="bullet"/>
      <w:lvlText w:val="o"/>
      <w:lvlJc w:val="left"/>
      <w:pPr>
        <w:tabs>
          <w:tab w:val="num" w:pos="1472"/>
        </w:tabs>
        <w:ind w:left="1472" w:hanging="360"/>
      </w:pPr>
      <w:rPr>
        <w:rFonts w:ascii="Courier New" w:hAnsi="Courier New" w:cs="Courier New" w:hint="default"/>
      </w:rPr>
    </w:lvl>
    <w:lvl w:ilvl="2" w:tplc="FFFFFFFF">
      <w:start w:val="1"/>
      <w:numFmt w:val="bullet"/>
      <w:lvlText w:val=""/>
      <w:lvlJc w:val="left"/>
      <w:pPr>
        <w:tabs>
          <w:tab w:val="num" w:pos="2192"/>
        </w:tabs>
        <w:ind w:left="2192" w:hanging="360"/>
      </w:pPr>
      <w:rPr>
        <w:rFonts w:ascii="Wingdings" w:hAnsi="Wingdings" w:cs="Wingdings" w:hint="default"/>
      </w:rPr>
    </w:lvl>
    <w:lvl w:ilvl="3" w:tplc="FFFFFFFF">
      <w:start w:val="1"/>
      <w:numFmt w:val="bullet"/>
      <w:lvlText w:val=""/>
      <w:lvlJc w:val="left"/>
      <w:pPr>
        <w:tabs>
          <w:tab w:val="num" w:pos="2912"/>
        </w:tabs>
        <w:ind w:left="2912" w:hanging="360"/>
      </w:pPr>
      <w:rPr>
        <w:rFonts w:ascii="Symbol" w:hAnsi="Symbol" w:cs="Symbol" w:hint="default"/>
      </w:rPr>
    </w:lvl>
    <w:lvl w:ilvl="4" w:tplc="FFFFFFFF">
      <w:start w:val="1"/>
      <w:numFmt w:val="bullet"/>
      <w:lvlText w:val="o"/>
      <w:lvlJc w:val="left"/>
      <w:pPr>
        <w:tabs>
          <w:tab w:val="num" w:pos="3632"/>
        </w:tabs>
        <w:ind w:left="3632" w:hanging="360"/>
      </w:pPr>
      <w:rPr>
        <w:rFonts w:ascii="Courier New" w:hAnsi="Courier New" w:cs="Courier New" w:hint="default"/>
      </w:rPr>
    </w:lvl>
    <w:lvl w:ilvl="5" w:tplc="FFFFFFFF">
      <w:start w:val="1"/>
      <w:numFmt w:val="bullet"/>
      <w:lvlText w:val=""/>
      <w:lvlJc w:val="left"/>
      <w:pPr>
        <w:tabs>
          <w:tab w:val="num" w:pos="4352"/>
        </w:tabs>
        <w:ind w:left="4352" w:hanging="360"/>
      </w:pPr>
      <w:rPr>
        <w:rFonts w:ascii="Wingdings" w:hAnsi="Wingdings" w:cs="Wingdings" w:hint="default"/>
      </w:rPr>
    </w:lvl>
    <w:lvl w:ilvl="6" w:tplc="FFFFFFFF">
      <w:start w:val="1"/>
      <w:numFmt w:val="bullet"/>
      <w:lvlText w:val=""/>
      <w:lvlJc w:val="left"/>
      <w:pPr>
        <w:tabs>
          <w:tab w:val="num" w:pos="5072"/>
        </w:tabs>
        <w:ind w:left="5072" w:hanging="360"/>
      </w:pPr>
      <w:rPr>
        <w:rFonts w:ascii="Symbol" w:hAnsi="Symbol" w:cs="Symbol" w:hint="default"/>
      </w:rPr>
    </w:lvl>
    <w:lvl w:ilvl="7" w:tplc="FFFFFFFF">
      <w:start w:val="1"/>
      <w:numFmt w:val="bullet"/>
      <w:lvlText w:val="o"/>
      <w:lvlJc w:val="left"/>
      <w:pPr>
        <w:tabs>
          <w:tab w:val="num" w:pos="5792"/>
        </w:tabs>
        <w:ind w:left="5792" w:hanging="360"/>
      </w:pPr>
      <w:rPr>
        <w:rFonts w:ascii="Courier New" w:hAnsi="Courier New" w:cs="Courier New" w:hint="default"/>
      </w:rPr>
    </w:lvl>
    <w:lvl w:ilvl="8" w:tplc="FFFFFFFF">
      <w:start w:val="1"/>
      <w:numFmt w:val="bullet"/>
      <w:lvlText w:val=""/>
      <w:lvlJc w:val="left"/>
      <w:pPr>
        <w:tabs>
          <w:tab w:val="num" w:pos="6512"/>
        </w:tabs>
        <w:ind w:left="6512" w:hanging="360"/>
      </w:pPr>
      <w:rPr>
        <w:rFonts w:ascii="Wingdings" w:hAnsi="Wingdings" w:cs="Wingdings" w:hint="default"/>
      </w:rPr>
    </w:lvl>
  </w:abstractNum>
  <w:abstractNum w:abstractNumId="12" w15:restartNumberingAfterBreak="0">
    <w:nsid w:val="75422400"/>
    <w:multiLevelType w:val="hybridMultilevel"/>
    <w:tmpl w:val="BA3647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75F640D2"/>
    <w:multiLevelType w:val="hybridMultilevel"/>
    <w:tmpl w:val="F63CE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542139"/>
    <w:multiLevelType w:val="hybridMultilevel"/>
    <w:tmpl w:val="61E02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016965"/>
    <w:multiLevelType w:val="hybridMultilevel"/>
    <w:tmpl w:val="41EC8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6"/>
  </w:num>
  <w:num w:numId="4">
    <w:abstractNumId w:val="8"/>
  </w:num>
  <w:num w:numId="5">
    <w:abstractNumId w:val="12"/>
  </w:num>
  <w:num w:numId="6">
    <w:abstractNumId w:val="3"/>
  </w:num>
  <w:num w:numId="7">
    <w:abstractNumId w:val="0"/>
  </w:num>
  <w:num w:numId="8">
    <w:abstractNumId w:val="1"/>
  </w:num>
  <w:num w:numId="9">
    <w:abstractNumId w:val="13"/>
  </w:num>
  <w:num w:numId="10">
    <w:abstractNumId w:val="2"/>
  </w:num>
  <w:num w:numId="11">
    <w:abstractNumId w:val="15"/>
  </w:num>
  <w:num w:numId="12">
    <w:abstractNumId w:val="4"/>
  </w:num>
  <w:num w:numId="13">
    <w:abstractNumId w:val="7"/>
  </w:num>
  <w:num w:numId="14">
    <w:abstractNumId w:val="14"/>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284"/>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AB9"/>
    <w:rsid w:val="000274C7"/>
    <w:rsid w:val="0003232D"/>
    <w:rsid w:val="000529E7"/>
    <w:rsid w:val="0006381F"/>
    <w:rsid w:val="00064528"/>
    <w:rsid w:val="000715A3"/>
    <w:rsid w:val="000767F7"/>
    <w:rsid w:val="000979ED"/>
    <w:rsid w:val="000C0129"/>
    <w:rsid w:val="000D24C6"/>
    <w:rsid w:val="00133338"/>
    <w:rsid w:val="00134589"/>
    <w:rsid w:val="00165AB9"/>
    <w:rsid w:val="00184E29"/>
    <w:rsid w:val="0019280E"/>
    <w:rsid w:val="001A2C0F"/>
    <w:rsid w:val="001B6A0D"/>
    <w:rsid w:val="001F1BFD"/>
    <w:rsid w:val="001F7496"/>
    <w:rsid w:val="002032F5"/>
    <w:rsid w:val="00231937"/>
    <w:rsid w:val="002360E9"/>
    <w:rsid w:val="002520CF"/>
    <w:rsid w:val="00252BA8"/>
    <w:rsid w:val="002877D1"/>
    <w:rsid w:val="002D3951"/>
    <w:rsid w:val="00314362"/>
    <w:rsid w:val="003209CA"/>
    <w:rsid w:val="00377797"/>
    <w:rsid w:val="003948D9"/>
    <w:rsid w:val="003A2462"/>
    <w:rsid w:val="003D0448"/>
    <w:rsid w:val="004017FA"/>
    <w:rsid w:val="004029B8"/>
    <w:rsid w:val="0042178F"/>
    <w:rsid w:val="00432EF4"/>
    <w:rsid w:val="00445EF7"/>
    <w:rsid w:val="00464104"/>
    <w:rsid w:val="0046523B"/>
    <w:rsid w:val="004D154D"/>
    <w:rsid w:val="00526D12"/>
    <w:rsid w:val="005855D9"/>
    <w:rsid w:val="00590FFA"/>
    <w:rsid w:val="00597558"/>
    <w:rsid w:val="005B76AD"/>
    <w:rsid w:val="005C6306"/>
    <w:rsid w:val="005E0DE4"/>
    <w:rsid w:val="00622725"/>
    <w:rsid w:val="0064202F"/>
    <w:rsid w:val="00644D79"/>
    <w:rsid w:val="00651151"/>
    <w:rsid w:val="00654996"/>
    <w:rsid w:val="00655444"/>
    <w:rsid w:val="00666F69"/>
    <w:rsid w:val="0067339D"/>
    <w:rsid w:val="006800BB"/>
    <w:rsid w:val="006C7FE1"/>
    <w:rsid w:val="00715A14"/>
    <w:rsid w:val="00734A41"/>
    <w:rsid w:val="00737311"/>
    <w:rsid w:val="00746798"/>
    <w:rsid w:val="00754011"/>
    <w:rsid w:val="007730D6"/>
    <w:rsid w:val="0077730C"/>
    <w:rsid w:val="00785AF0"/>
    <w:rsid w:val="007C7CD2"/>
    <w:rsid w:val="007D0088"/>
    <w:rsid w:val="00800E61"/>
    <w:rsid w:val="0082036B"/>
    <w:rsid w:val="00821759"/>
    <w:rsid w:val="00825B04"/>
    <w:rsid w:val="00842DC7"/>
    <w:rsid w:val="00846FEC"/>
    <w:rsid w:val="008527C2"/>
    <w:rsid w:val="00852882"/>
    <w:rsid w:val="00871B87"/>
    <w:rsid w:val="008B75DD"/>
    <w:rsid w:val="008C25CC"/>
    <w:rsid w:val="008C7730"/>
    <w:rsid w:val="008F5876"/>
    <w:rsid w:val="00900FB4"/>
    <w:rsid w:val="009109BE"/>
    <w:rsid w:val="00937C19"/>
    <w:rsid w:val="00944BAE"/>
    <w:rsid w:val="009569D9"/>
    <w:rsid w:val="00976356"/>
    <w:rsid w:val="00982004"/>
    <w:rsid w:val="009A06CA"/>
    <w:rsid w:val="009C1629"/>
    <w:rsid w:val="00A02BDC"/>
    <w:rsid w:val="00A57B7D"/>
    <w:rsid w:val="00AD1862"/>
    <w:rsid w:val="00AD641A"/>
    <w:rsid w:val="00AF6128"/>
    <w:rsid w:val="00AF76FD"/>
    <w:rsid w:val="00B12B34"/>
    <w:rsid w:val="00B139DA"/>
    <w:rsid w:val="00B15AC2"/>
    <w:rsid w:val="00B15E8A"/>
    <w:rsid w:val="00B1639C"/>
    <w:rsid w:val="00B259B1"/>
    <w:rsid w:val="00B45330"/>
    <w:rsid w:val="00B627BB"/>
    <w:rsid w:val="00B80E4C"/>
    <w:rsid w:val="00B81B9D"/>
    <w:rsid w:val="00B84C0F"/>
    <w:rsid w:val="00BE29CA"/>
    <w:rsid w:val="00C076C2"/>
    <w:rsid w:val="00C3034A"/>
    <w:rsid w:val="00C71083"/>
    <w:rsid w:val="00C801CF"/>
    <w:rsid w:val="00D46745"/>
    <w:rsid w:val="00D544AD"/>
    <w:rsid w:val="00D54BD1"/>
    <w:rsid w:val="00D62B81"/>
    <w:rsid w:val="00D644AA"/>
    <w:rsid w:val="00D66833"/>
    <w:rsid w:val="00D7668D"/>
    <w:rsid w:val="00DA1D45"/>
    <w:rsid w:val="00DB20C3"/>
    <w:rsid w:val="00DC135B"/>
    <w:rsid w:val="00E15460"/>
    <w:rsid w:val="00E1724C"/>
    <w:rsid w:val="00E24273"/>
    <w:rsid w:val="00E73FFA"/>
    <w:rsid w:val="00E83AB1"/>
    <w:rsid w:val="00EB31BA"/>
    <w:rsid w:val="00EC2385"/>
    <w:rsid w:val="00EC2D50"/>
    <w:rsid w:val="00ED67C1"/>
    <w:rsid w:val="00EE5C9D"/>
    <w:rsid w:val="00F01882"/>
    <w:rsid w:val="00F23E6A"/>
    <w:rsid w:val="00F45A2F"/>
    <w:rsid w:val="00F525CF"/>
    <w:rsid w:val="00F84371"/>
    <w:rsid w:val="00FB249D"/>
    <w:rsid w:val="00FB37D1"/>
    <w:rsid w:val="00FB7BD9"/>
    <w:rsid w:val="00FE2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01F91"/>
  <w15:docId w15:val="{2ECB5747-EC96-4270-96CB-52019B241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1CF"/>
    <w:rPr>
      <w:rFonts w:ascii="Calibri" w:eastAsia="Calibri" w:hAnsi="Calibri" w:cs="Calibri"/>
    </w:rPr>
  </w:style>
  <w:style w:type="paragraph" w:styleId="Heading1">
    <w:name w:val="heading 1"/>
    <w:basedOn w:val="Normal"/>
    <w:next w:val="Normal"/>
    <w:link w:val="Heading1Char"/>
    <w:uiPriority w:val="9"/>
    <w:qFormat/>
    <w:rsid w:val="00165AB9"/>
    <w:pPr>
      <w:keepNext/>
      <w:keepLines/>
      <w:spacing w:before="240" w:after="0"/>
      <w:outlineLvl w:val="0"/>
    </w:pPr>
    <w:rPr>
      <w:rFonts w:ascii="PT Sans" w:eastAsia="PT Sans" w:hAnsi="PT Sans" w:cs="PT Sans"/>
      <w:color w:val="85898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AB9"/>
    <w:rPr>
      <w:rFonts w:ascii="PT Sans" w:eastAsia="PT Sans" w:hAnsi="PT Sans" w:cs="PT Sans"/>
      <w:color w:val="858988"/>
      <w:sz w:val="28"/>
      <w:szCs w:val="28"/>
    </w:rPr>
  </w:style>
  <w:style w:type="paragraph" w:styleId="Footer">
    <w:name w:val="footer"/>
    <w:basedOn w:val="Normal"/>
    <w:link w:val="FooterChar"/>
    <w:uiPriority w:val="99"/>
    <w:unhideWhenUsed/>
    <w:rsid w:val="00165A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AB9"/>
    <w:rPr>
      <w:rFonts w:ascii="Calibri" w:eastAsia="Calibri" w:hAnsi="Calibri" w:cs="Calibri"/>
    </w:rPr>
  </w:style>
  <w:style w:type="character" w:styleId="PageNumber">
    <w:name w:val="page number"/>
    <w:basedOn w:val="DefaultParagraphFont"/>
    <w:uiPriority w:val="99"/>
    <w:semiHidden/>
    <w:unhideWhenUsed/>
    <w:rsid w:val="00165AB9"/>
  </w:style>
  <w:style w:type="character" w:styleId="CommentReference">
    <w:name w:val="annotation reference"/>
    <w:basedOn w:val="DefaultParagraphFont"/>
    <w:uiPriority w:val="99"/>
    <w:semiHidden/>
    <w:unhideWhenUsed/>
    <w:rsid w:val="002D3951"/>
    <w:rPr>
      <w:sz w:val="16"/>
      <w:szCs w:val="16"/>
    </w:rPr>
  </w:style>
  <w:style w:type="paragraph" w:styleId="CommentText">
    <w:name w:val="annotation text"/>
    <w:basedOn w:val="Normal"/>
    <w:link w:val="CommentTextChar"/>
    <w:uiPriority w:val="99"/>
    <w:semiHidden/>
    <w:unhideWhenUsed/>
    <w:rsid w:val="002D3951"/>
    <w:pPr>
      <w:spacing w:line="240" w:lineRule="auto"/>
    </w:pPr>
    <w:rPr>
      <w:sz w:val="20"/>
      <w:szCs w:val="20"/>
    </w:rPr>
  </w:style>
  <w:style w:type="character" w:customStyle="1" w:styleId="CommentTextChar">
    <w:name w:val="Comment Text Char"/>
    <w:basedOn w:val="DefaultParagraphFont"/>
    <w:link w:val="CommentText"/>
    <w:uiPriority w:val="99"/>
    <w:semiHidden/>
    <w:rsid w:val="002D395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D3951"/>
    <w:rPr>
      <w:b/>
      <w:bCs/>
    </w:rPr>
  </w:style>
  <w:style w:type="character" w:customStyle="1" w:styleId="CommentSubjectChar">
    <w:name w:val="Comment Subject Char"/>
    <w:basedOn w:val="CommentTextChar"/>
    <w:link w:val="CommentSubject"/>
    <w:uiPriority w:val="99"/>
    <w:semiHidden/>
    <w:rsid w:val="002D3951"/>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2D39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951"/>
    <w:rPr>
      <w:rFonts w:ascii="Segoe UI" w:eastAsia="Calibri" w:hAnsi="Segoe UI" w:cs="Segoe UI"/>
      <w:sz w:val="18"/>
      <w:szCs w:val="18"/>
    </w:rPr>
  </w:style>
  <w:style w:type="paragraph" w:styleId="ListParagraph">
    <w:name w:val="List Paragraph"/>
    <w:basedOn w:val="Normal"/>
    <w:uiPriority w:val="34"/>
    <w:qFormat/>
    <w:rsid w:val="00D62B81"/>
    <w:pPr>
      <w:spacing w:after="200" w:line="276" w:lineRule="auto"/>
      <w:ind w:left="720"/>
      <w:contextualSpacing/>
    </w:pPr>
    <w:rPr>
      <w:rFonts w:asciiTheme="minorHAnsi" w:eastAsiaTheme="minorHAnsi" w:hAnsiTheme="minorHAnsi" w:cstheme="minorBidi"/>
    </w:rPr>
  </w:style>
  <w:style w:type="table" w:styleId="TableGrid">
    <w:name w:val="Table Grid"/>
    <w:basedOn w:val="TableNormal"/>
    <w:uiPriority w:val="59"/>
    <w:rsid w:val="00D62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rsid w:val="00D62B81"/>
    <w:pPr>
      <w:suppressAutoHyphens/>
      <w:spacing w:after="0" w:line="100" w:lineRule="atLeast"/>
    </w:pPr>
    <w:rPr>
      <w:rFonts w:ascii="Calibri" w:eastAsia="SimSun" w:hAnsi="Calibri" w:cs="font339"/>
      <w:lang w:eastAsia="ar-SA"/>
    </w:rPr>
  </w:style>
  <w:style w:type="paragraph" w:styleId="Header">
    <w:name w:val="header"/>
    <w:basedOn w:val="Normal"/>
    <w:link w:val="HeaderChar"/>
    <w:uiPriority w:val="99"/>
    <w:unhideWhenUsed/>
    <w:rsid w:val="000715A3"/>
    <w:pPr>
      <w:tabs>
        <w:tab w:val="center" w:pos="4819"/>
        <w:tab w:val="right" w:pos="9638"/>
      </w:tabs>
      <w:spacing w:after="0" w:line="240" w:lineRule="auto"/>
    </w:pPr>
  </w:style>
  <w:style w:type="character" w:customStyle="1" w:styleId="HeaderChar">
    <w:name w:val="Header Char"/>
    <w:basedOn w:val="DefaultParagraphFont"/>
    <w:link w:val="Header"/>
    <w:uiPriority w:val="99"/>
    <w:rsid w:val="000715A3"/>
    <w:rPr>
      <w:rFonts w:ascii="Calibri" w:eastAsia="Calibri" w:hAnsi="Calibri" w:cs="Calibri"/>
    </w:rPr>
  </w:style>
  <w:style w:type="paragraph" w:styleId="FootnoteText">
    <w:name w:val="footnote text"/>
    <w:basedOn w:val="Normal"/>
    <w:link w:val="FootnoteTextChar"/>
    <w:uiPriority w:val="99"/>
    <w:semiHidden/>
    <w:unhideWhenUsed/>
    <w:rsid w:val="00D644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44AA"/>
    <w:rPr>
      <w:rFonts w:ascii="Calibri" w:eastAsia="Calibri" w:hAnsi="Calibri" w:cs="Calibri"/>
      <w:sz w:val="20"/>
      <w:szCs w:val="20"/>
    </w:rPr>
  </w:style>
  <w:style w:type="character" w:styleId="FootnoteReference">
    <w:name w:val="footnote reference"/>
    <w:basedOn w:val="DefaultParagraphFont"/>
    <w:uiPriority w:val="99"/>
    <w:semiHidden/>
    <w:unhideWhenUsed/>
    <w:rsid w:val="00D644AA"/>
    <w:rPr>
      <w:vertAlign w:val="superscript"/>
    </w:rPr>
  </w:style>
  <w:style w:type="paragraph" w:styleId="NoSpacing">
    <w:name w:val="No Spacing"/>
    <w:uiPriority w:val="1"/>
    <w:qFormat/>
    <w:rsid w:val="00937C19"/>
    <w:pPr>
      <w:spacing w:after="0" w:line="240" w:lineRule="auto"/>
    </w:pPr>
    <w:rPr>
      <w:rFonts w:ascii="Times New Roman" w:eastAsia="Times New Roman" w:hAnsi="Times New Roman" w:cs="Times New Roman"/>
      <w:sz w:val="24"/>
      <w:szCs w:val="24"/>
      <w:lang w:eastAsia="lt-LT"/>
    </w:rPr>
  </w:style>
  <w:style w:type="paragraph" w:customStyle="1" w:styleId="2vidutinistinklelis1">
    <w:name w:val="2 vidutinis tinklelis1"/>
    <w:uiPriority w:val="1"/>
    <w:qFormat/>
    <w:rsid w:val="00937C19"/>
    <w:pPr>
      <w:spacing w:after="0" w:line="240" w:lineRule="auto"/>
    </w:pPr>
    <w:rPr>
      <w:rFonts w:ascii="Times New Roman" w:eastAsia="Times New Roman" w:hAnsi="Times New Roman" w:cs="Times New Roman"/>
      <w:sz w:val="24"/>
      <w:szCs w:val="24"/>
      <w:lang w:eastAsia="lt-LT"/>
    </w:rPr>
  </w:style>
  <w:style w:type="character" w:styleId="Hyperlink">
    <w:name w:val="Hyperlink"/>
    <w:uiPriority w:val="99"/>
    <w:unhideWhenUsed/>
    <w:rsid w:val="009A06CA"/>
    <w:rPr>
      <w:color w:val="0000FF"/>
      <w:u w:val="single"/>
    </w:rPr>
  </w:style>
  <w:style w:type="paragraph" w:customStyle="1" w:styleId="Pagrindinistekstas1">
    <w:name w:val="Pagrindinis tekstas1"/>
    <w:basedOn w:val="Normal"/>
    <w:rsid w:val="004D154D"/>
    <w:pPr>
      <w:suppressAutoHyphens/>
      <w:autoSpaceDE w:val="0"/>
      <w:autoSpaceDN w:val="0"/>
      <w:adjustRightInd w:val="0"/>
      <w:spacing w:after="0" w:line="298" w:lineRule="auto"/>
      <w:ind w:firstLine="312"/>
      <w:jc w:val="both"/>
      <w:textAlignment w:val="center"/>
    </w:pPr>
    <w:rPr>
      <w:rFonts w:ascii="Times New Roman" w:eastAsia="MS Mincho" w:hAnsi="Times New Roman" w:cs="Times New Roman"/>
      <w:color w:val="000000"/>
      <w:sz w:val="20"/>
      <w:szCs w:val="20"/>
      <w:lang w:val="en-US" w:eastAsia="lt-LT"/>
    </w:rPr>
  </w:style>
  <w:style w:type="character" w:customStyle="1" w:styleId="Neapdorotaspaminjimas1">
    <w:name w:val="Neapdorotas paminėjimas1"/>
    <w:basedOn w:val="DefaultParagraphFont"/>
    <w:uiPriority w:val="99"/>
    <w:semiHidden/>
    <w:unhideWhenUsed/>
    <w:rsid w:val="001B6A0D"/>
    <w:rPr>
      <w:color w:val="605E5C"/>
      <w:shd w:val="clear" w:color="auto" w:fill="E1DFDD"/>
    </w:rPr>
  </w:style>
  <w:style w:type="character" w:customStyle="1" w:styleId="UnresolvedMention">
    <w:name w:val="Unresolved Mention"/>
    <w:basedOn w:val="DefaultParagraphFont"/>
    <w:uiPriority w:val="99"/>
    <w:semiHidden/>
    <w:unhideWhenUsed/>
    <w:rsid w:val="004641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501122">
      <w:bodyDiv w:val="1"/>
      <w:marLeft w:val="0"/>
      <w:marRight w:val="0"/>
      <w:marTop w:val="0"/>
      <w:marBottom w:val="0"/>
      <w:divBdr>
        <w:top w:val="none" w:sz="0" w:space="0" w:color="auto"/>
        <w:left w:val="none" w:sz="0" w:space="0" w:color="auto"/>
        <w:bottom w:val="none" w:sz="0" w:space="0" w:color="auto"/>
        <w:right w:val="none" w:sz="0" w:space="0" w:color="auto"/>
      </w:divBdr>
    </w:div>
    <w:div w:id="1067804857">
      <w:bodyDiv w:val="1"/>
      <w:marLeft w:val="0"/>
      <w:marRight w:val="0"/>
      <w:marTop w:val="0"/>
      <w:marBottom w:val="0"/>
      <w:divBdr>
        <w:top w:val="none" w:sz="0" w:space="0" w:color="auto"/>
        <w:left w:val="none" w:sz="0" w:space="0" w:color="auto"/>
        <w:bottom w:val="none" w:sz="0" w:space="0" w:color="auto"/>
        <w:right w:val="none" w:sz="0" w:space="0" w:color="auto"/>
      </w:divBdr>
    </w:div>
    <w:div w:id="1532380666">
      <w:bodyDiv w:val="1"/>
      <w:marLeft w:val="0"/>
      <w:marRight w:val="0"/>
      <w:marTop w:val="0"/>
      <w:marBottom w:val="0"/>
      <w:divBdr>
        <w:top w:val="none" w:sz="0" w:space="0" w:color="auto"/>
        <w:left w:val="none" w:sz="0" w:space="0" w:color="auto"/>
        <w:bottom w:val="none" w:sz="0" w:space="0" w:color="auto"/>
        <w:right w:val="none" w:sz="0" w:space="0" w:color="auto"/>
      </w:divBdr>
    </w:div>
    <w:div w:id="1609967794">
      <w:bodyDiv w:val="1"/>
      <w:marLeft w:val="0"/>
      <w:marRight w:val="0"/>
      <w:marTop w:val="0"/>
      <w:marBottom w:val="0"/>
      <w:divBdr>
        <w:top w:val="none" w:sz="0" w:space="0" w:color="auto"/>
        <w:left w:val="none" w:sz="0" w:space="0" w:color="auto"/>
        <w:bottom w:val="none" w:sz="0" w:space="0" w:color="auto"/>
        <w:right w:val="none" w:sz="0" w:space="0" w:color="auto"/>
      </w:divBdr>
    </w:div>
    <w:div w:id="214036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172AA-B4E1-449D-A9C0-D4AC5A27A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8</Pages>
  <Words>6919</Words>
  <Characters>3945</Characters>
  <Application>Microsoft Office Word</Application>
  <DocSecurity>0</DocSecurity>
  <Lines>32</Lines>
  <Paragraphs>21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KPMPC1</dc:creator>
  <cp:lastModifiedBy>Virginija Musteikienė</cp:lastModifiedBy>
  <cp:revision>15</cp:revision>
  <cp:lastPrinted>2019-01-07T14:55:00Z</cp:lastPrinted>
  <dcterms:created xsi:type="dcterms:W3CDTF">2022-09-27T13:40:00Z</dcterms:created>
  <dcterms:modified xsi:type="dcterms:W3CDTF">2022-11-15T13:24:00Z</dcterms:modified>
</cp:coreProperties>
</file>