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28" w:rsidRPr="00785370" w:rsidRDefault="00064528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5460" w:rsidRPr="00785370" w:rsidRDefault="00E15460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70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:rsidR="00E15460" w:rsidRPr="00785370" w:rsidRDefault="00E15460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785370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:rsidR="00D644AA" w:rsidRPr="00785370" w:rsidRDefault="00D644AA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785370" w:rsidTr="00526D12">
        <w:tc>
          <w:tcPr>
            <w:tcW w:w="9628" w:type="dxa"/>
          </w:tcPr>
          <w:p w:rsidR="00526D12" w:rsidRPr="00785370" w:rsidRDefault="00BF3CB1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Buhalterinės apskaitos neformaliojo profesinio mokymo programa</w:t>
            </w:r>
          </w:p>
        </w:tc>
      </w:tr>
    </w:tbl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78537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 w:rsidRPr="00785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785370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785370" w:rsidTr="00526D12">
        <w:tc>
          <w:tcPr>
            <w:tcW w:w="9628" w:type="dxa"/>
          </w:tcPr>
          <w:p w:rsidR="00526D12" w:rsidRPr="00AE79C7" w:rsidRDefault="00AE79C7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79C7">
              <w:rPr>
                <w:rFonts w:ascii="Times New Roman" w:hAnsi="Times New Roman" w:cs="Times New Roman"/>
                <w:noProof/>
                <w:sz w:val="24"/>
                <w:szCs w:val="24"/>
                <w:lang w:val="en-BZ"/>
              </w:rPr>
              <w:t>N43041102</w:t>
            </w:r>
          </w:p>
        </w:tc>
      </w:tr>
    </w:tbl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78537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785370" w:rsidTr="00526D12">
        <w:tc>
          <w:tcPr>
            <w:tcW w:w="9628" w:type="dxa"/>
          </w:tcPr>
          <w:p w:rsidR="00526D12" w:rsidRPr="00785370" w:rsidRDefault="0014184E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Verslas ir administravimas</w:t>
            </w:r>
          </w:p>
        </w:tc>
      </w:tr>
    </w:tbl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78537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785370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vietimo posritis / posričiai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785370" w:rsidTr="00526D12">
        <w:tc>
          <w:tcPr>
            <w:tcW w:w="9628" w:type="dxa"/>
          </w:tcPr>
          <w:p w:rsidR="00526D12" w:rsidRPr="00785370" w:rsidRDefault="0014184E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Apskaita</w:t>
            </w:r>
          </w:p>
        </w:tc>
      </w:tr>
    </w:tbl>
    <w:p w:rsidR="00526D12" w:rsidRPr="00785370" w:rsidRDefault="00526D12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724C" w:rsidRPr="00785370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78537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785370" w:rsidTr="00E1724C">
        <w:tc>
          <w:tcPr>
            <w:tcW w:w="9628" w:type="dxa"/>
          </w:tcPr>
          <w:p w:rsidR="00E1724C" w:rsidRPr="00785370" w:rsidRDefault="00BF3CB1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</w:tbl>
    <w:p w:rsidR="00E1724C" w:rsidRPr="00785370" w:rsidRDefault="00E1724C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785370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78537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785370" w:rsidTr="00D46745">
        <w:tc>
          <w:tcPr>
            <w:tcW w:w="9628" w:type="dxa"/>
          </w:tcPr>
          <w:p w:rsidR="00D46745" w:rsidRPr="00785370" w:rsidRDefault="00BF3CB1" w:rsidP="00BF3CB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</w:t>
            </w:r>
            <w:r w:rsidR="00D46745"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akademinių valandų kontaktiniam darbui, iš kurių </w:t>
            </w: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 akademinės</w:t>
            </w:r>
            <w:r w:rsidR="00D46745"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skiriam</w:t>
            </w: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teoriniam mokymui, </w:t>
            </w: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 akademinės</w:t>
            </w:r>
            <w:r w:rsidR="00D46745"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 mokymui.</w:t>
            </w:r>
          </w:p>
        </w:tc>
      </w:tr>
    </w:tbl>
    <w:p w:rsidR="00D46745" w:rsidRPr="00785370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26D12" w:rsidRPr="00785370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78537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78537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785370" w:rsidTr="00D46745">
        <w:tc>
          <w:tcPr>
            <w:tcW w:w="9628" w:type="dxa"/>
          </w:tcPr>
          <w:p w:rsidR="00D46745" w:rsidRPr="00785370" w:rsidRDefault="00BF3CB1" w:rsidP="008F58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Vidurinis išsilavinimas</w:t>
            </w:r>
          </w:p>
        </w:tc>
      </w:tr>
    </w:tbl>
    <w:p w:rsidR="00D46745" w:rsidRPr="00785370" w:rsidRDefault="00D46745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46745" w:rsidRPr="00785370" w:rsidRDefault="00D644AA" w:rsidP="008F587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78537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7853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785370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785370" w:rsidTr="001F7496">
        <w:tc>
          <w:tcPr>
            <w:tcW w:w="3211" w:type="dxa"/>
          </w:tcPr>
          <w:p w:rsidR="001F7496" w:rsidRPr="00785370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:rsidR="001F7496" w:rsidRPr="00785370" w:rsidRDefault="001F7496" w:rsidP="008F5876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:rsidR="001F7496" w:rsidRPr="00785370" w:rsidRDefault="001F7496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785370" w:rsidTr="001F7496">
        <w:tc>
          <w:tcPr>
            <w:tcW w:w="3211" w:type="dxa"/>
          </w:tcPr>
          <w:p w:rsidR="001F7496" w:rsidRPr="00785370" w:rsidRDefault="00117FE8" w:rsidP="00117FE8">
            <w:pPr>
              <w:tabs>
                <w:tab w:val="left" w:pos="869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ilgalaikio turto apskaitą</w:t>
            </w:r>
          </w:p>
        </w:tc>
        <w:tc>
          <w:tcPr>
            <w:tcW w:w="3211" w:type="dxa"/>
          </w:tcPr>
          <w:p w:rsidR="001F7496" w:rsidRPr="00785370" w:rsidRDefault="00117FE8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Apskaitininkas, LTKS IV, </w:t>
            </w:r>
            <w:r w:rsidR="0014184E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K169401</w:t>
            </w:r>
          </w:p>
        </w:tc>
        <w:tc>
          <w:tcPr>
            <w:tcW w:w="3212" w:type="dxa"/>
          </w:tcPr>
          <w:p w:rsidR="001F7496" w:rsidRPr="00785370" w:rsidRDefault="0014184E" w:rsidP="008F58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Nekilnojamojo turto operacijų, finansinių, apskaitos ir draudimo paslaugų sektoriaus profesinis standartas, PSK01</w:t>
            </w:r>
          </w:p>
        </w:tc>
      </w:tr>
      <w:tr w:rsidR="0014184E" w:rsidRPr="00785370" w:rsidTr="001F7496">
        <w:tc>
          <w:tcPr>
            <w:tcW w:w="3211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gautinų sumų ir kito trumpalaikio turto apskaitą</w:t>
            </w:r>
          </w:p>
        </w:tc>
        <w:tc>
          <w:tcPr>
            <w:tcW w:w="3211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Apskaitininkas, LTKS IV, K169401</w:t>
            </w:r>
          </w:p>
        </w:tc>
        <w:tc>
          <w:tcPr>
            <w:tcW w:w="3212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Nekilnojamojo turto operacijų, finansinių, apskaitos ir draudimo paslaugų sektoriaus profesinis standartas, PSK01</w:t>
            </w:r>
          </w:p>
        </w:tc>
      </w:tr>
      <w:tr w:rsidR="0014184E" w:rsidRPr="00785370" w:rsidTr="001F7496">
        <w:tc>
          <w:tcPr>
            <w:tcW w:w="3211" w:type="dxa"/>
          </w:tcPr>
          <w:p w:rsidR="0014184E" w:rsidRPr="00785370" w:rsidRDefault="0014184E" w:rsidP="0014184E">
            <w:pPr>
              <w:tabs>
                <w:tab w:val="left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mokėtinų sumų apskaitą</w:t>
            </w:r>
          </w:p>
        </w:tc>
        <w:tc>
          <w:tcPr>
            <w:tcW w:w="3211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Apskaitininkas, LTKS IV, K169401</w:t>
            </w:r>
          </w:p>
        </w:tc>
        <w:tc>
          <w:tcPr>
            <w:tcW w:w="3212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Nekilnojamojo turto operacijų, finansinių, apskaitos ir draudimo paslaugų sektoriaus profesinis standartas, PSK01</w:t>
            </w:r>
          </w:p>
        </w:tc>
      </w:tr>
      <w:tr w:rsidR="0014184E" w:rsidRPr="00785370" w:rsidTr="001F7496">
        <w:tc>
          <w:tcPr>
            <w:tcW w:w="3211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apskaičiuoto ir išmokėto atlygio darbuotojui apskaitą</w:t>
            </w:r>
          </w:p>
        </w:tc>
        <w:tc>
          <w:tcPr>
            <w:tcW w:w="3211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Apskaitininkas, LTKS IV, K169401</w:t>
            </w:r>
          </w:p>
        </w:tc>
        <w:tc>
          <w:tcPr>
            <w:tcW w:w="3212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Nekilnojamojo turto operacijų, finansinių, apskaitos ir draudimo paslaugų sektoriaus profesinis standartas, PSK01</w:t>
            </w:r>
          </w:p>
        </w:tc>
      </w:tr>
      <w:tr w:rsidR="0014184E" w:rsidRPr="00785370" w:rsidTr="001F7496">
        <w:tc>
          <w:tcPr>
            <w:tcW w:w="3211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pajamų ir sąnaudų apskaitą</w:t>
            </w:r>
          </w:p>
        </w:tc>
        <w:tc>
          <w:tcPr>
            <w:tcW w:w="3211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Apskaitininkas, LTKS IV, K169401</w:t>
            </w:r>
          </w:p>
        </w:tc>
        <w:tc>
          <w:tcPr>
            <w:tcW w:w="3212" w:type="dxa"/>
          </w:tcPr>
          <w:p w:rsidR="0014184E" w:rsidRPr="00785370" w:rsidRDefault="0014184E" w:rsidP="001418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Nekilnojamojo turto operacijų, finansinių, apskaitos ir </w:t>
            </w: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draudimo paslaugų sektoriaus profesinis standartas, PSK01</w:t>
            </w:r>
          </w:p>
        </w:tc>
      </w:tr>
    </w:tbl>
    <w:p w:rsidR="001F7496" w:rsidRPr="00785370" w:rsidRDefault="001F7496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7C19" w:rsidRPr="00785370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85370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78537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785370">
        <w:rPr>
          <w:rFonts w:ascii="Times New Roman" w:hAnsi="Times New Roman" w:cs="Times New Roman"/>
          <w:color w:val="000000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RPr="00785370" w:rsidTr="00937C19">
        <w:tc>
          <w:tcPr>
            <w:tcW w:w="9628" w:type="dxa"/>
          </w:tcPr>
          <w:p w:rsidR="00937C19" w:rsidRPr="00785370" w:rsidRDefault="001A2C0F" w:rsidP="008F5876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785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:rsidR="00937C19" w:rsidRPr="00785370" w:rsidRDefault="00937C19" w:rsidP="008F587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44AA" w:rsidRPr="00785370" w:rsidRDefault="00D644AA" w:rsidP="008F58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37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644AA" w:rsidRPr="00785370" w:rsidRDefault="00D644AA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785370" w:rsidSect="00D644AA">
          <w:headerReference w:type="default" r:id="rId8"/>
          <w:footerReference w:type="even" r:id="rId9"/>
          <w:footerReference w:type="default" r:id="rId10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:rsidR="00165AB9" w:rsidRPr="00785370" w:rsidRDefault="00165AB9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70">
        <w:rPr>
          <w:rFonts w:ascii="Times New Roman" w:hAnsi="Times New Roman" w:cs="Times New Roman"/>
          <w:b/>
          <w:sz w:val="24"/>
          <w:szCs w:val="24"/>
        </w:rPr>
        <w:t xml:space="preserve">2. PROGRAMOS </w:t>
      </w:r>
      <w:r w:rsidR="00ED67C1" w:rsidRPr="00785370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134"/>
        <w:gridCol w:w="2976"/>
        <w:gridCol w:w="4536"/>
        <w:gridCol w:w="1276"/>
        <w:gridCol w:w="1418"/>
        <w:gridCol w:w="1417"/>
        <w:gridCol w:w="815"/>
      </w:tblGrid>
      <w:tr w:rsidR="00937C19" w:rsidRPr="00785370" w:rsidTr="008F5876">
        <w:trPr>
          <w:trHeight w:val="40"/>
        </w:trPr>
        <w:tc>
          <w:tcPr>
            <w:tcW w:w="2122" w:type="dxa"/>
            <w:vMerge w:val="restart"/>
          </w:tcPr>
          <w:p w:rsidR="00937C19" w:rsidRPr="00785370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785370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</w:tcPr>
          <w:p w:rsidR="00937C19" w:rsidRPr="00785370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2976" w:type="dxa"/>
            <w:vMerge w:val="restart"/>
          </w:tcPr>
          <w:p w:rsidR="00937C19" w:rsidRPr="00785370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Kompetencija(-os)</w:t>
            </w:r>
          </w:p>
        </w:tc>
        <w:tc>
          <w:tcPr>
            <w:tcW w:w="4536" w:type="dxa"/>
            <w:vMerge w:val="restart"/>
          </w:tcPr>
          <w:p w:rsidR="00937C19" w:rsidRPr="00785370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1276" w:type="dxa"/>
            <w:vMerge w:val="restart"/>
          </w:tcPr>
          <w:p w:rsidR="00937C19" w:rsidRPr="00785370" w:rsidRDefault="00937C19" w:rsidP="008F58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3650" w:type="dxa"/>
            <w:gridSpan w:val="3"/>
          </w:tcPr>
          <w:p w:rsidR="00937C19" w:rsidRPr="00785370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785370" w:rsidTr="008F5876">
        <w:trPr>
          <w:trHeight w:val="582"/>
        </w:trPr>
        <w:tc>
          <w:tcPr>
            <w:tcW w:w="2122" w:type="dxa"/>
            <w:vMerge/>
          </w:tcPr>
          <w:p w:rsidR="00937C19" w:rsidRPr="00785370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37C19" w:rsidRPr="00785370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937C19" w:rsidRPr="00785370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37C19" w:rsidRPr="00785370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937C19" w:rsidRPr="00785370" w:rsidRDefault="00937C19" w:rsidP="008F58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937C19" w:rsidRPr="00785370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1417" w:type="dxa"/>
          </w:tcPr>
          <w:p w:rsidR="00937C19" w:rsidRPr="00785370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815" w:type="dxa"/>
          </w:tcPr>
          <w:p w:rsidR="00937C19" w:rsidRPr="00785370" w:rsidRDefault="00937C19" w:rsidP="008F5876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C929A5" w:rsidRPr="00785370" w:rsidTr="008F5876">
        <w:trPr>
          <w:trHeight w:val="40"/>
        </w:trPr>
        <w:tc>
          <w:tcPr>
            <w:tcW w:w="2122" w:type="dxa"/>
            <w:vMerge w:val="restart"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Buhalterinės apskaitos tvarkymas</w:t>
            </w:r>
          </w:p>
        </w:tc>
        <w:tc>
          <w:tcPr>
            <w:tcW w:w="1134" w:type="dxa"/>
            <w:vMerge w:val="restart"/>
          </w:tcPr>
          <w:p w:rsidR="00C929A5" w:rsidRPr="00785370" w:rsidRDefault="00C929A5" w:rsidP="00C9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2976" w:type="dxa"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ilgalaikio turto apskaitą.</w:t>
            </w:r>
          </w:p>
        </w:tc>
        <w:tc>
          <w:tcPr>
            <w:tcW w:w="4536" w:type="dxa"/>
          </w:tcPr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Apibūdinti ilgalaikį turtą ir jo apskaitą reglamentuojančius norminius dokumentus.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Paaiškinti ilgalaikio turto nusidėvėjimo, remonto ir nurašymo apskaitos ypatumus.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Registruoti ilgalaikio turto apskaitos duomenis buhalterinėse sąskaitose, naudojantis ilgalaikio turto apskaitos dokumentais.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Suvesti ilgalaikio turto apskaitos duomenis, naudojantis kompiuterizuotomis apskaitos programomis.</w:t>
            </w:r>
          </w:p>
        </w:tc>
        <w:tc>
          <w:tcPr>
            <w:tcW w:w="1276" w:type="dxa"/>
            <w:vMerge w:val="restart"/>
          </w:tcPr>
          <w:p w:rsidR="00C929A5" w:rsidRPr="00785370" w:rsidRDefault="00C929A5" w:rsidP="00C9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vMerge w:val="restart"/>
          </w:tcPr>
          <w:p w:rsidR="00C929A5" w:rsidRPr="00785370" w:rsidRDefault="00C929A5" w:rsidP="00C9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417" w:type="dxa"/>
            <w:vMerge w:val="restart"/>
          </w:tcPr>
          <w:p w:rsidR="00C929A5" w:rsidRPr="00785370" w:rsidRDefault="00C929A5" w:rsidP="00C9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815" w:type="dxa"/>
            <w:vMerge w:val="restart"/>
          </w:tcPr>
          <w:p w:rsidR="00C929A5" w:rsidRPr="00785370" w:rsidRDefault="00C929A5" w:rsidP="00C92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</w:tr>
      <w:tr w:rsidR="00C929A5" w:rsidRPr="00785370" w:rsidTr="008F5876">
        <w:trPr>
          <w:trHeight w:val="40"/>
        </w:trPr>
        <w:tc>
          <w:tcPr>
            <w:tcW w:w="2122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gautinų sumų ir kito trumpalaikio turto apskaitą.</w:t>
            </w:r>
          </w:p>
        </w:tc>
        <w:tc>
          <w:tcPr>
            <w:tcW w:w="4536" w:type="dxa"/>
          </w:tcPr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Apibūdinti gautinas sumas išankstinių mokėjimų, ateinančių laikotarpių sąnaudų ir sukauptų gautinų pajamų, pirkėjų skolų, pagrindinius apskaitos bruožus.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Registruoti per vienerius metus gautinų sumų apskaitos duomenis buhalterinėse sąskaitose, naudojantis skolų įmonei ir kito trumpalaikio turto apskaitos dokumentais.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Suvesti gautinų sumų ir kito trumpalaikio turto apskaitos duomenis, naudojantis kompiuterizuotomis apskaitos programomis.</w:t>
            </w:r>
          </w:p>
        </w:tc>
        <w:tc>
          <w:tcPr>
            <w:tcW w:w="1276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A5" w:rsidRPr="00785370" w:rsidTr="008F5876">
        <w:trPr>
          <w:trHeight w:val="40"/>
        </w:trPr>
        <w:tc>
          <w:tcPr>
            <w:tcW w:w="2122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mokėtinų sumų apskaitą.</w:t>
            </w:r>
          </w:p>
        </w:tc>
        <w:tc>
          <w:tcPr>
            <w:tcW w:w="4536" w:type="dxa"/>
          </w:tcPr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Apibūdinti įsipareigojimų požymius ir jų grupes.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Registruoti įsipareigojimų apskaitos duomenis buhalterinėse sąskaitose, naudojantis mokėtinų sumų ir įsipareigojimų apskaitos dokumentais.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Suvesti mokėtinų sumų ir įsipareigojimų apskaitos duomenis, naudojantis kompiuterizuotomis apskaitos programomis.</w:t>
            </w:r>
          </w:p>
        </w:tc>
        <w:tc>
          <w:tcPr>
            <w:tcW w:w="1276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A5" w:rsidRPr="00785370" w:rsidTr="008F5876">
        <w:trPr>
          <w:trHeight w:val="40"/>
        </w:trPr>
        <w:tc>
          <w:tcPr>
            <w:tcW w:w="2122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apskaičiuoto ir išmokėto atlygio darbuotojui apskaitą.</w:t>
            </w:r>
          </w:p>
        </w:tc>
        <w:tc>
          <w:tcPr>
            <w:tcW w:w="4536" w:type="dxa"/>
          </w:tcPr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Apibūdinti darbo apmokėjimo formas, sistemas ir Lietuvos Respublikos teisės aktus, reglamentuojančius darbo apmokėjimą.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Apskaičiuoti darbuotojų darbo užmokestį ir išskaičiuoti iš jo mokesčius.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Užregistruoti apskaičiuotą darbo užmokestį ir su juo susijusius išskaitymus buhalterinėse apskaitos sąskaitose, naudojantis darbo apmokėjimo dokumentais.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Parengti mokestines ataskaitas, naudojantis darbo užmokesčio ir su juo susijusių mokesčių duomenimis.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Suvesti apskaičiuoto ir išmokėto atlygio darbuotojui apskaitos duomenis, naudojantis kompiuterizuotomis apskaitos programomis.</w:t>
            </w:r>
          </w:p>
        </w:tc>
        <w:tc>
          <w:tcPr>
            <w:tcW w:w="1276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9A5" w:rsidRPr="00785370" w:rsidTr="008F5876">
        <w:trPr>
          <w:trHeight w:val="40"/>
        </w:trPr>
        <w:tc>
          <w:tcPr>
            <w:tcW w:w="2122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Tvarkyti pajamų ir sąnaudų apskaitą.</w:t>
            </w:r>
          </w:p>
        </w:tc>
        <w:tc>
          <w:tcPr>
            <w:tcW w:w="4536" w:type="dxa"/>
          </w:tcPr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Apibūdinti pajamų, sąnaudų ir pelno sąvokas, pajamų ir sąnaudų pripažinimo apskaitoje tvarką ir jų sudėtį.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Užregistruoti buhalterinėse sąskaitose nustatytą pajamų ir išlaidų pripažintų sąnaudomis dydį, pridėtinės vertės mokestį.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Apskaičiuoti bendrojo ir grynojo pelno rodiklį.</w:t>
            </w:r>
          </w:p>
          <w:p w:rsidR="00C929A5" w:rsidRPr="00785370" w:rsidRDefault="00C929A5" w:rsidP="009A1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Suvesti pajamų ir sąnaudų apskaitos duomenis, naudojantis kompiuterizuotomis apskaitos programomis.</w:t>
            </w:r>
          </w:p>
        </w:tc>
        <w:tc>
          <w:tcPr>
            <w:tcW w:w="1276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vMerge/>
          </w:tcPr>
          <w:p w:rsidR="00C929A5" w:rsidRPr="00785370" w:rsidRDefault="00C929A5" w:rsidP="008F58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5A3" w:rsidRPr="00785370" w:rsidRDefault="000715A3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5876" w:rsidRPr="00785370" w:rsidRDefault="008F5876" w:rsidP="008F5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370">
        <w:rPr>
          <w:rFonts w:ascii="Times New Roman" w:hAnsi="Times New Roman" w:cs="Times New Roman"/>
          <w:sz w:val="24"/>
          <w:szCs w:val="24"/>
        </w:rPr>
        <w:br w:type="page"/>
      </w:r>
    </w:p>
    <w:p w:rsidR="00165AB9" w:rsidRPr="00785370" w:rsidRDefault="00ED67C1" w:rsidP="008F5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370">
        <w:rPr>
          <w:rFonts w:ascii="Times New Roman" w:hAnsi="Times New Roman" w:cs="Times New Roman"/>
          <w:b/>
          <w:sz w:val="24"/>
          <w:szCs w:val="24"/>
        </w:rPr>
        <w:t>3</w:t>
      </w:r>
      <w:r w:rsidR="00165AB9" w:rsidRPr="00785370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:rsidR="001A2C0F" w:rsidRPr="00785370" w:rsidRDefault="001A2C0F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7C19" w:rsidRPr="00785370" w:rsidRDefault="00937C19" w:rsidP="008F5876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5370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BF3CB1" w:rsidRPr="00785370">
        <w:rPr>
          <w:rFonts w:ascii="Times New Roman" w:hAnsi="Times New Roman" w:cs="Times New Roman"/>
          <w:b/>
          <w:sz w:val="24"/>
          <w:szCs w:val="24"/>
        </w:rPr>
        <w:t>Buhalterinės apskaitos tvarkymas</w:t>
      </w:r>
      <w:r w:rsidRPr="00785370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937C19" w:rsidRPr="00785370" w:rsidTr="00B15AC2">
        <w:trPr>
          <w:trHeight w:val="57"/>
          <w:jc w:val="center"/>
        </w:trPr>
        <w:tc>
          <w:tcPr>
            <w:tcW w:w="947" w:type="pct"/>
          </w:tcPr>
          <w:p w:rsidR="00937C19" w:rsidRPr="00785370" w:rsidRDefault="00937C19" w:rsidP="008F5876">
            <w:pPr>
              <w:pStyle w:val="NoSpacing"/>
              <w:widowControl w:val="0"/>
            </w:pPr>
            <w:r w:rsidRPr="00785370">
              <w:t>Valstybinis kodas</w:t>
            </w:r>
            <w:r w:rsidRPr="00785370">
              <w:rPr>
                <w:rStyle w:val="FootnoteReference"/>
              </w:rPr>
              <w:footnoteReference w:id="2"/>
            </w:r>
          </w:p>
        </w:tc>
        <w:tc>
          <w:tcPr>
            <w:tcW w:w="4053" w:type="pct"/>
            <w:gridSpan w:val="2"/>
          </w:tcPr>
          <w:p w:rsidR="00937C19" w:rsidRPr="00785370" w:rsidRDefault="00937C19" w:rsidP="008F5876">
            <w:pPr>
              <w:pStyle w:val="NoSpacing"/>
              <w:widowControl w:val="0"/>
            </w:pPr>
          </w:p>
        </w:tc>
      </w:tr>
      <w:tr w:rsidR="00937C19" w:rsidRPr="00785370" w:rsidTr="00B15AC2">
        <w:trPr>
          <w:trHeight w:val="57"/>
          <w:jc w:val="center"/>
        </w:trPr>
        <w:tc>
          <w:tcPr>
            <w:tcW w:w="947" w:type="pct"/>
          </w:tcPr>
          <w:p w:rsidR="00937C19" w:rsidRPr="00785370" w:rsidRDefault="00937C19" w:rsidP="008F5876">
            <w:pPr>
              <w:pStyle w:val="NoSpacing"/>
              <w:widowControl w:val="0"/>
            </w:pPr>
            <w:r w:rsidRPr="00785370">
              <w:t>Modulio LTKS lygis</w:t>
            </w:r>
          </w:p>
        </w:tc>
        <w:tc>
          <w:tcPr>
            <w:tcW w:w="4053" w:type="pct"/>
            <w:gridSpan w:val="2"/>
          </w:tcPr>
          <w:p w:rsidR="00937C19" w:rsidRPr="00785370" w:rsidRDefault="00BF3CB1" w:rsidP="008F5876">
            <w:pPr>
              <w:pStyle w:val="NoSpacing"/>
              <w:widowControl w:val="0"/>
            </w:pPr>
            <w:r w:rsidRPr="00785370">
              <w:t>IV</w:t>
            </w:r>
          </w:p>
        </w:tc>
      </w:tr>
      <w:tr w:rsidR="00937C19" w:rsidRPr="00785370" w:rsidTr="00B15AC2">
        <w:trPr>
          <w:trHeight w:val="57"/>
          <w:jc w:val="center"/>
        </w:trPr>
        <w:tc>
          <w:tcPr>
            <w:tcW w:w="947" w:type="pct"/>
          </w:tcPr>
          <w:p w:rsidR="00937C19" w:rsidRPr="00785370" w:rsidRDefault="00937C19" w:rsidP="008F5876">
            <w:pPr>
              <w:pStyle w:val="NoSpacing"/>
              <w:widowControl w:val="0"/>
            </w:pPr>
            <w:r w:rsidRPr="00785370">
              <w:t>Apimtis mokymosi kreditais</w:t>
            </w:r>
          </w:p>
        </w:tc>
        <w:tc>
          <w:tcPr>
            <w:tcW w:w="4053" w:type="pct"/>
            <w:gridSpan w:val="2"/>
          </w:tcPr>
          <w:p w:rsidR="00937C19" w:rsidRPr="00785370" w:rsidRDefault="00BF3CB1" w:rsidP="008F5876">
            <w:pPr>
              <w:pStyle w:val="NoSpacing"/>
              <w:widowControl w:val="0"/>
            </w:pPr>
            <w:r w:rsidRPr="00785370">
              <w:t>20</w:t>
            </w:r>
          </w:p>
        </w:tc>
      </w:tr>
      <w:tr w:rsidR="00937C19" w:rsidRPr="00785370" w:rsidTr="00B15AC2">
        <w:trPr>
          <w:trHeight w:val="57"/>
          <w:jc w:val="center"/>
        </w:trPr>
        <w:tc>
          <w:tcPr>
            <w:tcW w:w="947" w:type="pct"/>
          </w:tcPr>
          <w:p w:rsidR="00937C19" w:rsidRPr="00785370" w:rsidRDefault="00937C19" w:rsidP="008F5876">
            <w:pPr>
              <w:pStyle w:val="NoSpacing"/>
              <w:widowControl w:val="0"/>
            </w:pPr>
            <w:r w:rsidRPr="00785370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:rsidR="00937C19" w:rsidRPr="00785370" w:rsidRDefault="00BF3CB1" w:rsidP="008F5876">
            <w:pPr>
              <w:pStyle w:val="NoSpacing"/>
              <w:widowControl w:val="0"/>
            </w:pPr>
            <w:r w:rsidRPr="00785370">
              <w:t>Netaikoma</w:t>
            </w:r>
          </w:p>
        </w:tc>
      </w:tr>
      <w:tr w:rsidR="00377797" w:rsidRPr="00785370" w:rsidTr="00A110F3">
        <w:trPr>
          <w:trHeight w:val="565"/>
          <w:jc w:val="center"/>
        </w:trPr>
        <w:tc>
          <w:tcPr>
            <w:tcW w:w="947" w:type="pct"/>
            <w:shd w:val="clear" w:color="auto" w:fill="F2F2F2"/>
          </w:tcPr>
          <w:p w:rsidR="00377797" w:rsidRPr="00785370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785370">
              <w:t>Kompetencijos</w:t>
            </w:r>
          </w:p>
        </w:tc>
        <w:tc>
          <w:tcPr>
            <w:tcW w:w="1129" w:type="pct"/>
            <w:shd w:val="clear" w:color="auto" w:fill="F2F2F2"/>
          </w:tcPr>
          <w:p w:rsidR="00377797" w:rsidRPr="00785370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785370">
              <w:rPr>
                <w:bCs/>
                <w:iCs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:rsidR="00377797" w:rsidRPr="00785370" w:rsidRDefault="00377797" w:rsidP="008F5876">
            <w:pPr>
              <w:pStyle w:val="NoSpacing"/>
              <w:widowControl w:val="0"/>
              <w:rPr>
                <w:bCs/>
                <w:iCs/>
              </w:rPr>
            </w:pPr>
            <w:r w:rsidRPr="00785370">
              <w:rPr>
                <w:bCs/>
                <w:iCs/>
              </w:rPr>
              <w:t>Rekomenduojamas turinys mokymosi rezultatams pasiekti</w:t>
            </w:r>
          </w:p>
        </w:tc>
      </w:tr>
      <w:tr w:rsidR="00377797" w:rsidRPr="00785370" w:rsidTr="00A110F3">
        <w:trPr>
          <w:trHeight w:val="57"/>
          <w:jc w:val="center"/>
        </w:trPr>
        <w:tc>
          <w:tcPr>
            <w:tcW w:w="947" w:type="pct"/>
            <w:vMerge w:val="restart"/>
          </w:tcPr>
          <w:p w:rsidR="00377797" w:rsidRPr="00785370" w:rsidRDefault="00377797" w:rsidP="008F5876">
            <w:pPr>
              <w:pStyle w:val="NoSpacing"/>
              <w:widowControl w:val="0"/>
            </w:pPr>
            <w:r w:rsidRPr="00785370">
              <w:t xml:space="preserve">1. </w:t>
            </w:r>
            <w:r w:rsidR="00BF3CB1" w:rsidRPr="00785370">
              <w:t>Tvarkyti ilgalaikio turto apskaitą.</w:t>
            </w:r>
          </w:p>
        </w:tc>
        <w:tc>
          <w:tcPr>
            <w:tcW w:w="1129" w:type="pct"/>
          </w:tcPr>
          <w:p w:rsidR="00377797" w:rsidRPr="00785370" w:rsidRDefault="00377797" w:rsidP="008F5876">
            <w:pPr>
              <w:pStyle w:val="NoSpacing"/>
              <w:widowControl w:val="0"/>
            </w:pPr>
            <w:r w:rsidRPr="00785370">
              <w:t xml:space="preserve">1.1. </w:t>
            </w:r>
            <w:r w:rsidR="00BF3CB1" w:rsidRPr="00785370">
              <w:t>Apibūdinti ilgalaikį turtą ir jo apskaitą</w:t>
            </w:r>
            <w:r w:rsidR="00F82923" w:rsidRPr="00785370">
              <w:t xml:space="preserve"> reglamentuojančius norminius dokumentus.</w:t>
            </w:r>
          </w:p>
        </w:tc>
        <w:tc>
          <w:tcPr>
            <w:tcW w:w="2924" w:type="pct"/>
          </w:tcPr>
          <w:p w:rsidR="00125A3C" w:rsidRPr="00785370" w:rsidRDefault="00125A3C" w:rsidP="00125A3C">
            <w:pPr>
              <w:pStyle w:val="NoSpacing"/>
              <w:widowControl w:val="0"/>
              <w:rPr>
                <w:b/>
                <w:bCs/>
                <w:i/>
              </w:rPr>
            </w:pPr>
            <w:r w:rsidRPr="00785370">
              <w:rPr>
                <w:b/>
              </w:rPr>
              <w:t>Tema.</w:t>
            </w:r>
            <w:r w:rsidRPr="00785370">
              <w:t xml:space="preserve"> </w:t>
            </w:r>
            <w:r w:rsidRPr="00785370">
              <w:rPr>
                <w:b/>
                <w:bCs/>
                <w:i/>
              </w:rPr>
              <w:t>Ilgalaikis turtas ir jo klasifikavimas.</w:t>
            </w:r>
            <w:r w:rsidRPr="00785370">
              <w:rPr>
                <w:bCs/>
              </w:rPr>
              <w:t xml:space="preserve"> </w:t>
            </w:r>
            <w:r w:rsidRPr="00785370">
              <w:rPr>
                <w:b/>
                <w:bCs/>
                <w:i/>
              </w:rPr>
              <w:t>Ilgalaikio turto apskaitą reglamentuojantys norminiai dokumentai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  <w:rPr>
                <w:strike/>
              </w:rPr>
            </w:pPr>
            <w:r w:rsidRPr="00785370">
              <w:t>Ilgalaikis turtas ir jo klasifikavimas apskaitoje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</w:pPr>
            <w:r w:rsidRPr="00785370">
              <w:t>Ilgalaikio turto įvertinimas apskaitoje ir finansinėse ataskaitose</w:t>
            </w:r>
          </w:p>
          <w:p w:rsidR="00377797" w:rsidRPr="00785370" w:rsidRDefault="00125A3C" w:rsidP="00125A3C">
            <w:pPr>
              <w:pStyle w:val="NoSpacing"/>
              <w:widowControl w:val="0"/>
              <w:numPr>
                <w:ilvl w:val="0"/>
                <w:numId w:val="7"/>
              </w:numPr>
              <w:ind w:left="0" w:firstLine="0"/>
            </w:pPr>
            <w:r w:rsidRPr="00785370">
              <w:rPr>
                <w:bCs/>
              </w:rPr>
              <w:t>Ilgalaikio turto apskaitą reglamentuojantys norminiai dokumentai</w:t>
            </w:r>
          </w:p>
        </w:tc>
      </w:tr>
      <w:tr w:rsidR="00377797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377797" w:rsidRPr="00785370" w:rsidRDefault="00377797" w:rsidP="008F5876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377797" w:rsidRPr="00785370" w:rsidRDefault="00377797" w:rsidP="008F5876">
            <w:pPr>
              <w:pStyle w:val="NoSpacing"/>
              <w:widowControl w:val="0"/>
            </w:pPr>
            <w:r w:rsidRPr="00785370">
              <w:t xml:space="preserve">1.2. </w:t>
            </w:r>
            <w:r w:rsidR="00F82923" w:rsidRPr="00785370">
              <w:t>Paaiškinti ilgalaikio turto nusidėvėjimo, remonto ir nurašymo apskaitos ypatumus.</w:t>
            </w:r>
          </w:p>
        </w:tc>
        <w:tc>
          <w:tcPr>
            <w:tcW w:w="2924" w:type="pct"/>
          </w:tcPr>
          <w:p w:rsidR="00125A3C" w:rsidRPr="00785370" w:rsidRDefault="00125A3C" w:rsidP="00125A3C">
            <w:pPr>
              <w:pStyle w:val="NoSpacing"/>
              <w:widowControl w:val="0"/>
              <w:rPr>
                <w:b/>
                <w:bCs/>
                <w:i/>
              </w:rPr>
            </w:pPr>
            <w:r w:rsidRPr="00785370">
              <w:rPr>
                <w:b/>
              </w:rPr>
              <w:t xml:space="preserve">Tema. </w:t>
            </w:r>
            <w:r w:rsidRPr="00785370">
              <w:rPr>
                <w:b/>
                <w:bCs/>
                <w:i/>
              </w:rPr>
              <w:t>Ilgalaikio turto nusidėvėjimo, remonto ir nurašymo apskaitos ypatumai</w:t>
            </w:r>
          </w:p>
          <w:p w:rsidR="00125A3C" w:rsidRPr="00785370" w:rsidRDefault="00125A3C" w:rsidP="00125A3C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Pagrindinės ilgalaikio turto nusidėvėjimo sąvokos</w:t>
            </w:r>
          </w:p>
          <w:p w:rsidR="00125A3C" w:rsidRPr="00785370" w:rsidRDefault="00125A3C" w:rsidP="00125A3C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Ilgalaikio turto nusidėvėjimo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apskaičiavimas, taikant skirtingus apskaitos metodus</w:t>
            </w:r>
          </w:p>
          <w:p w:rsidR="00377797" w:rsidRPr="00785370" w:rsidRDefault="00125A3C" w:rsidP="00125A3C">
            <w:pPr>
              <w:pStyle w:val="ListParagraph"/>
              <w:widowControl w:val="0"/>
              <w:numPr>
                <w:ilvl w:val="0"/>
                <w:numId w:val="7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Ilgalaikio turto remonto išlaidų apskaičiavimas ir nurašymas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1.3. Registruoti ilgalaikio turto apskaitos duomenis buhalterinėse sąskaitose, naudojantis ilgalaikio turto apskaitos dokumentais. </w:t>
            </w:r>
          </w:p>
        </w:tc>
        <w:tc>
          <w:tcPr>
            <w:tcW w:w="2924" w:type="pct"/>
          </w:tcPr>
          <w:p w:rsidR="00125A3C" w:rsidRPr="00785370" w:rsidRDefault="00125A3C" w:rsidP="00125A3C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3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Ilgalaikio turto apskaitos dokumentai</w:t>
            </w:r>
          </w:p>
          <w:p w:rsidR="00125A3C" w:rsidRPr="00785370" w:rsidRDefault="00125A3C" w:rsidP="00125A3C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Ilgalaikio turto apskaitos dokumentų klasifikavimas</w:t>
            </w:r>
          </w:p>
          <w:p w:rsidR="00125A3C" w:rsidRPr="00785370" w:rsidRDefault="00125A3C" w:rsidP="00125A3C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Ilgalaikio turto įsigijimo ir jo naudojimo pradžios dokumentai</w:t>
            </w:r>
          </w:p>
          <w:p w:rsidR="00125A3C" w:rsidRPr="00785370" w:rsidRDefault="00125A3C" w:rsidP="00125A3C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Ilgalaikio turto nusidėvėjimo (amortizacijos)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skaičiavimo dokumentai</w:t>
            </w:r>
          </w:p>
          <w:p w:rsidR="00125A3C" w:rsidRPr="00785370" w:rsidRDefault="00125A3C" w:rsidP="00125A3C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Ilgalaikio turto eksploatacijos ir remonto dokumentai</w:t>
            </w:r>
          </w:p>
          <w:p w:rsidR="00125A3C" w:rsidRPr="00785370" w:rsidRDefault="00125A3C" w:rsidP="00125A3C">
            <w:pPr>
              <w:pStyle w:val="ListParagraph"/>
              <w:widowControl w:val="0"/>
              <w:numPr>
                <w:ilvl w:val="0"/>
                <w:numId w:val="8"/>
              </w:numPr>
              <w:spacing w:after="0" w:line="240" w:lineRule="auto"/>
              <w:ind w:left="320" w:hanging="320"/>
              <w:contextualSpacing w:val="0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Ilgalaikio turto inventorizavimo dokumentai</w:t>
            </w:r>
          </w:p>
          <w:p w:rsidR="00125A3C" w:rsidRPr="00785370" w:rsidRDefault="00125A3C" w:rsidP="00125A3C">
            <w:pPr>
              <w:pStyle w:val="NoSpacing"/>
              <w:widowControl w:val="0"/>
              <w:rPr>
                <w:b/>
                <w:i/>
              </w:rPr>
            </w:pPr>
            <w:r w:rsidRPr="00785370">
              <w:rPr>
                <w:b/>
              </w:rPr>
              <w:t>Tema.</w:t>
            </w:r>
            <w:r w:rsidRPr="00785370">
              <w:t xml:space="preserve"> </w:t>
            </w:r>
            <w:r w:rsidRPr="00785370">
              <w:rPr>
                <w:b/>
                <w:bCs/>
                <w:i/>
              </w:rPr>
              <w:t xml:space="preserve">Ilgalaikio turto </w:t>
            </w:r>
            <w:r w:rsidRPr="00785370">
              <w:rPr>
                <w:b/>
                <w:i/>
              </w:rPr>
              <w:t>apskaita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8"/>
              </w:numPr>
              <w:ind w:left="320" w:hanging="270"/>
              <w:rPr>
                <w:b/>
                <w:i/>
              </w:rPr>
            </w:pPr>
            <w:r w:rsidRPr="00785370">
              <w:rPr>
                <w:bCs/>
              </w:rPr>
              <w:t xml:space="preserve">Ilgalaikio turto įsigijimo savikainos, </w:t>
            </w:r>
            <w:r w:rsidRPr="00785370">
              <w:t>nusidėvėjimo (amortizacijos) apskaita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8"/>
              </w:numPr>
              <w:ind w:left="320" w:hanging="270"/>
              <w:rPr>
                <w:b/>
                <w:i/>
              </w:rPr>
            </w:pPr>
            <w:r w:rsidRPr="00785370">
              <w:rPr>
                <w:bCs/>
              </w:rPr>
              <w:t>Ilgalaikio turto</w:t>
            </w:r>
            <w:r w:rsidRPr="00785370">
              <w:t xml:space="preserve"> remonto išlaidų ir nurašymo apskaita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8"/>
              </w:numPr>
              <w:ind w:left="320" w:hanging="270"/>
            </w:pPr>
            <w:r w:rsidRPr="00785370">
              <w:t>Ilgalaikio turto perleidimo, netekimo, nurašymo apskaita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8"/>
              </w:numPr>
              <w:ind w:left="320" w:hanging="270"/>
              <w:rPr>
                <w:b/>
                <w:i/>
              </w:rPr>
            </w:pPr>
            <w:r w:rsidRPr="00785370">
              <w:t>Ilgalaikio turto inventorizacija ir jos rezultatų apskaita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1.4. Suvesti ilgalaikio turto apskaitos duomenis, naudojantis kompiuterizuotomis apskaitos programomis.</w:t>
            </w:r>
          </w:p>
        </w:tc>
        <w:tc>
          <w:tcPr>
            <w:tcW w:w="2924" w:type="pct"/>
          </w:tcPr>
          <w:p w:rsidR="00125A3C" w:rsidRPr="00785370" w:rsidRDefault="00125A3C" w:rsidP="00125A3C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Kompiuterizuotas informacijos apdorojimas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 w:rsidRPr="00785370">
              <w:rPr>
                <w:bCs/>
              </w:rPr>
              <w:t xml:space="preserve">Ilgalaikio turto apskaitos duomenų </w:t>
            </w:r>
            <w:r w:rsidRPr="00785370">
              <w:t>formavimas</w:t>
            </w:r>
          </w:p>
          <w:p w:rsidR="00125A3C" w:rsidRPr="00785370" w:rsidRDefault="00125A3C" w:rsidP="00125A3C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 w:rsidRPr="00785370">
              <w:rPr>
                <w:bCs/>
              </w:rPr>
              <w:t xml:space="preserve">Ilgalaikio turto </w:t>
            </w:r>
            <w:r w:rsidRPr="00785370">
              <w:rPr>
                <w:bCs/>
                <w:shd w:val="clear" w:color="auto" w:fill="FFFFFF" w:themeFill="background1"/>
              </w:rPr>
              <w:t>apskaitos duomenų</w:t>
            </w:r>
            <w:r w:rsidRPr="00785370">
              <w:rPr>
                <w:b/>
                <w:bCs/>
                <w:i/>
              </w:rPr>
              <w:t xml:space="preserve"> </w:t>
            </w:r>
            <w:r w:rsidRPr="00785370">
              <w:t>registravimas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 w:val="restar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2. Tvarkyti gautinų sumų ir kito trumpalaikio turto apskaitą. </w:t>
            </w: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2.1. Apibūdinti gautinas sumas išankstinių mokėjimų, ateinančių laikotarpių sąnaudų ir sukauptų gautinų pajamų, pirkėjų skolų, pagrindinius apskaitos bruožus.</w:t>
            </w:r>
          </w:p>
        </w:tc>
        <w:tc>
          <w:tcPr>
            <w:tcW w:w="2924" w:type="pct"/>
          </w:tcPr>
          <w:p w:rsidR="00CD6EEA" w:rsidRPr="00785370" w:rsidRDefault="00CD6EEA" w:rsidP="00CD6EEA">
            <w:pPr>
              <w:pStyle w:val="NoSpacing"/>
              <w:widowControl w:val="0"/>
              <w:rPr>
                <w:bCs/>
              </w:rPr>
            </w:pPr>
            <w:r w:rsidRPr="00785370">
              <w:rPr>
                <w:b/>
              </w:rPr>
              <w:t xml:space="preserve">Tema. </w:t>
            </w:r>
            <w:r w:rsidRPr="00785370">
              <w:rPr>
                <w:b/>
                <w:bCs/>
                <w:i/>
              </w:rPr>
              <w:t>Gautinų sumų apibūdinimas ir klasifikavimas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3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Trumpalaikės pirkėjų skolos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3"/>
              </w:numPr>
              <w:ind w:left="0" w:firstLine="0"/>
            </w:pPr>
            <w:r w:rsidRPr="00785370">
              <w:rPr>
                <w:bCs/>
              </w:rPr>
              <w:t>Išankstiniai apmokėjimai</w:t>
            </w:r>
          </w:p>
          <w:p w:rsidR="00125A3C" w:rsidRPr="00785370" w:rsidRDefault="00CD6EEA" w:rsidP="00CD6EEA">
            <w:pPr>
              <w:pStyle w:val="NoSpacing"/>
              <w:widowControl w:val="0"/>
              <w:numPr>
                <w:ilvl w:val="0"/>
                <w:numId w:val="13"/>
              </w:numPr>
              <w:ind w:left="0" w:firstLine="0"/>
            </w:pPr>
            <w:r w:rsidRPr="00785370">
              <w:t>Ateinančių laikotarpių sąnaudos ir sukauptos pajamos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2.2. Registruoti per vienerius metus gautinų sumų apskaitos duomenis buhalterinėse sąskaitose, naudojantis skolų įmonei ir kito trumpalaikio turto apskaitos dokumentais. </w:t>
            </w:r>
          </w:p>
        </w:tc>
        <w:tc>
          <w:tcPr>
            <w:tcW w:w="2924" w:type="pct"/>
          </w:tcPr>
          <w:p w:rsidR="00CD6EEA" w:rsidRPr="00785370" w:rsidRDefault="00CD6EEA" w:rsidP="00CD6EEA">
            <w:pPr>
              <w:pStyle w:val="NoSpacing"/>
              <w:widowControl w:val="0"/>
              <w:rPr>
                <w:b/>
                <w:bCs/>
                <w:i/>
              </w:rPr>
            </w:pPr>
            <w:r w:rsidRPr="00785370">
              <w:rPr>
                <w:b/>
              </w:rPr>
              <w:t xml:space="preserve">Tema. </w:t>
            </w:r>
            <w:r w:rsidRPr="00785370">
              <w:rPr>
                <w:b/>
                <w:bCs/>
                <w:i/>
              </w:rPr>
              <w:t>Skolų įmonei ir kitų gautinų sumų dokumentai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  <w:rPr>
                <w:bCs/>
              </w:rPr>
            </w:pPr>
            <w:r w:rsidRPr="00785370">
              <w:t>P</w:t>
            </w:r>
            <w:r w:rsidRPr="00785370">
              <w:rPr>
                <w:bCs/>
              </w:rPr>
              <w:t>irkėjų skolų apskaitos dokumentai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Atsiskaitymų su atskaitingais asmenimis dokumentai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Kitų gautinų sumų dokumentai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</w:pPr>
            <w:r w:rsidRPr="00785370">
              <w:t>Skolų įmonei (debitorių) inventorizacijos dokumentai</w:t>
            </w:r>
          </w:p>
          <w:p w:rsidR="00CD6EEA" w:rsidRPr="00785370" w:rsidRDefault="00CD6EEA" w:rsidP="00CD6EEA">
            <w:pPr>
              <w:pStyle w:val="NoSpacing"/>
              <w:widowControl w:val="0"/>
              <w:rPr>
                <w:b/>
                <w:bCs/>
                <w:i/>
              </w:rPr>
            </w:pPr>
            <w:r w:rsidRPr="00785370">
              <w:rPr>
                <w:b/>
              </w:rPr>
              <w:t xml:space="preserve">Tema. </w:t>
            </w:r>
            <w:r w:rsidRPr="00785370">
              <w:rPr>
                <w:b/>
                <w:bCs/>
                <w:i/>
              </w:rPr>
              <w:t>Per vienerius metus gautinų sumų apskaita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</w:pPr>
            <w:r w:rsidRPr="00785370">
              <w:t>Trumpalaikių pirkėjų skolų apskaita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</w:pPr>
            <w:r w:rsidRPr="00785370">
              <w:t>Atsiskaitymų su atskaitingais asmenimis apskaita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</w:pPr>
            <w:r w:rsidRPr="00785370">
              <w:t>Komandiruočių apskaita</w:t>
            </w:r>
          </w:p>
          <w:p w:rsidR="00CD6EEA" w:rsidRPr="00785370" w:rsidRDefault="00CD6EEA" w:rsidP="00CD6EEA">
            <w:pPr>
              <w:pStyle w:val="ListParagraph"/>
              <w:widowControl w:val="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Išankstiniai apmokėjimai tiekėjams ir biudžetui apskaita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</w:pPr>
            <w:r w:rsidRPr="00785370">
              <w:t>Ateinančių laikotarpių sąnaudų ir sukauptų gautinų pajamų registravimas apskaitoje</w:t>
            </w:r>
          </w:p>
          <w:p w:rsidR="00125A3C" w:rsidRPr="00785370" w:rsidRDefault="00CD6EEA" w:rsidP="00CD6EEA">
            <w:pPr>
              <w:pStyle w:val="NoSpacing"/>
              <w:widowControl w:val="0"/>
              <w:numPr>
                <w:ilvl w:val="0"/>
                <w:numId w:val="14"/>
              </w:numPr>
              <w:ind w:left="0" w:firstLine="0"/>
            </w:pPr>
            <w:r w:rsidRPr="00785370">
              <w:t>Skolų įmonei (debitorių) inventorizacijos rezultatų registravimas apskaitoje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2.3. Suvesti gautinų sumų ir kito trumpalaikio turto apskaitos duomenis, naudojantis kompiuterizuotomis apskaitos programomis. </w:t>
            </w:r>
          </w:p>
        </w:tc>
        <w:tc>
          <w:tcPr>
            <w:tcW w:w="2924" w:type="pct"/>
          </w:tcPr>
          <w:p w:rsidR="00CD6EEA" w:rsidRPr="00785370" w:rsidRDefault="00CD6EEA" w:rsidP="00CD6EEA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ko-KR"/>
              </w:rPr>
              <w:t>Kompiuterizuotas informacijos apdorojimas</w:t>
            </w:r>
          </w:p>
          <w:p w:rsidR="00CD6EEA" w:rsidRPr="00785370" w:rsidRDefault="00CD6EEA" w:rsidP="00CD6EEA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 w:rsidRPr="00785370">
              <w:rPr>
                <w:bCs/>
              </w:rPr>
              <w:t xml:space="preserve">Gautinų sumų apskaitos duomenų </w:t>
            </w:r>
            <w:r w:rsidRPr="00785370">
              <w:t>formavimas</w:t>
            </w:r>
          </w:p>
          <w:p w:rsidR="00125A3C" w:rsidRPr="00785370" w:rsidRDefault="00CD6EEA" w:rsidP="00CD6EEA">
            <w:pPr>
              <w:pStyle w:val="NoSpacing"/>
              <w:widowControl w:val="0"/>
              <w:numPr>
                <w:ilvl w:val="0"/>
                <w:numId w:val="9"/>
              </w:numPr>
              <w:ind w:left="0" w:firstLine="0"/>
            </w:pPr>
            <w:r w:rsidRPr="00785370">
              <w:rPr>
                <w:bCs/>
              </w:rPr>
              <w:t>Gautinų sumų</w:t>
            </w:r>
            <w:r w:rsidRPr="00785370">
              <w:rPr>
                <w:b/>
                <w:bCs/>
                <w:i/>
              </w:rPr>
              <w:t xml:space="preserve"> </w:t>
            </w:r>
            <w:r w:rsidRPr="00785370">
              <w:rPr>
                <w:bCs/>
              </w:rPr>
              <w:t xml:space="preserve">apskaitos duomenų </w:t>
            </w:r>
            <w:r w:rsidRPr="00785370">
              <w:t>registravimas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 w:val="restar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3. Tvarkyti mokėtinų sumų apskaitą.</w:t>
            </w: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3.1. </w:t>
            </w:r>
            <w:r w:rsidR="00681BBD" w:rsidRPr="00785370">
              <w:t>Apibūdinti įsipareigojimų požymius ir jų grupes.</w:t>
            </w:r>
          </w:p>
        </w:tc>
        <w:tc>
          <w:tcPr>
            <w:tcW w:w="2924" w:type="pct"/>
          </w:tcPr>
          <w:p w:rsidR="00681BBD" w:rsidRPr="00785370" w:rsidRDefault="00681BBD" w:rsidP="00681BBD">
            <w:pPr>
              <w:pStyle w:val="NoSpacing"/>
              <w:widowControl w:val="0"/>
              <w:rPr>
                <w:b/>
                <w:bCs/>
                <w:i/>
              </w:rPr>
            </w:pPr>
            <w:r w:rsidRPr="00785370">
              <w:rPr>
                <w:b/>
              </w:rPr>
              <w:t>Tema.</w:t>
            </w:r>
            <w:r w:rsidRPr="00785370">
              <w:t xml:space="preserve"> </w:t>
            </w:r>
            <w:r w:rsidRPr="00785370">
              <w:rPr>
                <w:b/>
                <w:bCs/>
                <w:i/>
              </w:rPr>
              <w:t>Įsipareigojimų apibūdinimas ir jų klasifikavimas</w:t>
            </w:r>
          </w:p>
          <w:p w:rsidR="00681BBD" w:rsidRPr="00785370" w:rsidRDefault="00681BBD" w:rsidP="00681BBD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Pagrindiniai įmonės įsipareigojimų bruožai</w:t>
            </w:r>
          </w:p>
          <w:p w:rsidR="00681BBD" w:rsidRPr="00785370" w:rsidRDefault="00681BBD" w:rsidP="00681BB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Po vienerių metų mokėtinos sumos ir ilgalaikiai įsipareigojimai</w:t>
            </w:r>
          </w:p>
          <w:p w:rsidR="00681BBD" w:rsidRPr="00785370" w:rsidRDefault="00681BBD" w:rsidP="00681BB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Per vienerius metus mokėtinos sumos ir trumpalaikiai įsipareigojimai</w:t>
            </w:r>
          </w:p>
          <w:p w:rsidR="00125A3C" w:rsidRPr="00785370" w:rsidRDefault="00681BBD" w:rsidP="00681BBD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Įmonės įsipareigojimai biudžetui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3.2.</w:t>
            </w:r>
            <w:r w:rsidR="00681BBD" w:rsidRPr="00785370">
              <w:t xml:space="preserve"> </w:t>
            </w:r>
            <w:r w:rsidR="00681BBD" w:rsidRPr="00785370">
              <w:rPr>
                <w:bCs/>
              </w:rPr>
              <w:t xml:space="preserve">Registruoti įsipareigojimų apskaitos duomenis buhalterinėse sąskaitose, </w:t>
            </w:r>
            <w:r w:rsidR="00681BBD" w:rsidRPr="00785370">
              <w:t xml:space="preserve">naudojantis </w:t>
            </w:r>
            <w:r w:rsidR="00681BBD" w:rsidRPr="00785370">
              <w:rPr>
                <w:bCs/>
              </w:rPr>
              <w:t>mokėtinų sumų ir įsipareigojimų</w:t>
            </w:r>
            <w:r w:rsidR="00681BBD" w:rsidRPr="00785370">
              <w:t xml:space="preserve"> apskaitos dokumentais.</w:t>
            </w:r>
          </w:p>
        </w:tc>
        <w:tc>
          <w:tcPr>
            <w:tcW w:w="2924" w:type="pct"/>
          </w:tcPr>
          <w:p w:rsidR="00681BBD" w:rsidRPr="00785370" w:rsidRDefault="00681BBD" w:rsidP="00403C99">
            <w:pPr>
              <w:widowControl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3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Mokėtinų sumų ir įsipareigojimų dokumentavimas ir registravimas buhalterinėse sąskaitose</w:t>
            </w:r>
          </w:p>
          <w:p w:rsidR="00681BBD" w:rsidRPr="00785370" w:rsidRDefault="00681BBD" w:rsidP="00681BBD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Įmonės įsipareigojimų dokumentavimas ir registravimas buhalterinėse sąskaitose</w:t>
            </w:r>
          </w:p>
          <w:p w:rsidR="00681BBD" w:rsidRPr="00785370" w:rsidRDefault="00681BBD" w:rsidP="00681BBD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Finansinių įsipareigojimų apskaita</w:t>
            </w:r>
          </w:p>
          <w:p w:rsidR="00681BBD" w:rsidRPr="00785370" w:rsidRDefault="00681BBD" w:rsidP="00681BBD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Atsiskaitymų su tiekėjais apskaita</w:t>
            </w:r>
          </w:p>
          <w:p w:rsidR="00681BBD" w:rsidRPr="00785370" w:rsidRDefault="00681BBD" w:rsidP="00681BBD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Įmonės įsipareigojimų biudžetui apskaita</w:t>
            </w:r>
          </w:p>
          <w:p w:rsidR="00681BBD" w:rsidRPr="00785370" w:rsidRDefault="00681BBD" w:rsidP="00681BBD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785370">
              <w:rPr>
                <w:bCs/>
              </w:rPr>
              <w:t>Kitų mokėtinų sumų apskaita</w:t>
            </w:r>
          </w:p>
          <w:p w:rsidR="00125A3C" w:rsidRPr="00785370" w:rsidRDefault="00681BBD" w:rsidP="00681BBD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</w:pPr>
            <w:r w:rsidRPr="00785370">
              <w:rPr>
                <w:bCs/>
              </w:rPr>
              <w:t>Įmonės skolų inventorizavimas ir apskaita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681BBD" w:rsidP="00125A3C">
            <w:pPr>
              <w:pStyle w:val="NoSpacing"/>
              <w:widowControl w:val="0"/>
            </w:pPr>
            <w:r w:rsidRPr="00785370">
              <w:t>3.3. Suvesti</w:t>
            </w:r>
            <w:r w:rsidRPr="00785370">
              <w:rPr>
                <w:b/>
              </w:rPr>
              <w:t xml:space="preserve"> </w:t>
            </w:r>
            <w:r w:rsidRPr="00785370">
              <w:t>mokėtinų sumų ir įsipareigojimų apskaitos duomenis, naudojantis kompiuterizuotomis apskaitos programomis.</w:t>
            </w:r>
          </w:p>
        </w:tc>
        <w:tc>
          <w:tcPr>
            <w:tcW w:w="2924" w:type="pct"/>
          </w:tcPr>
          <w:p w:rsidR="00681BBD" w:rsidRPr="00785370" w:rsidRDefault="00681BBD" w:rsidP="00681BBD">
            <w:pPr>
              <w:pStyle w:val="NoSpacing"/>
              <w:widowControl w:val="0"/>
              <w:rPr>
                <w:b/>
                <w:i/>
              </w:rPr>
            </w:pPr>
            <w:r w:rsidRPr="00785370">
              <w:rPr>
                <w:b/>
              </w:rPr>
              <w:t>Tema.</w:t>
            </w:r>
            <w:r w:rsidRPr="00785370">
              <w:t xml:space="preserve"> </w:t>
            </w:r>
            <w:r w:rsidRPr="00785370">
              <w:rPr>
                <w:b/>
                <w:i/>
              </w:rPr>
              <w:t>Kompiuterizuotas informacijos apdorojimas</w:t>
            </w:r>
          </w:p>
          <w:p w:rsidR="00681BBD" w:rsidRPr="00785370" w:rsidRDefault="00681BBD" w:rsidP="00681BBD">
            <w:pPr>
              <w:pStyle w:val="NoSpacing"/>
              <w:widowControl w:val="0"/>
              <w:numPr>
                <w:ilvl w:val="0"/>
                <w:numId w:val="15"/>
              </w:numPr>
              <w:ind w:left="0" w:firstLine="0"/>
            </w:pPr>
            <w:r w:rsidRPr="00785370">
              <w:rPr>
                <w:bCs/>
              </w:rPr>
              <w:t>Įmonės mokėtinų sumų ir įsipareigojimų apskaitos duomenų formavimas</w:t>
            </w:r>
          </w:p>
          <w:p w:rsidR="00125A3C" w:rsidRPr="00785370" w:rsidRDefault="00681BBD" w:rsidP="00681BBD">
            <w:pPr>
              <w:pStyle w:val="NoSpacing"/>
              <w:widowControl w:val="0"/>
              <w:numPr>
                <w:ilvl w:val="0"/>
                <w:numId w:val="15"/>
              </w:numPr>
              <w:ind w:left="0" w:firstLine="0"/>
            </w:pPr>
            <w:r w:rsidRPr="00785370">
              <w:rPr>
                <w:bCs/>
              </w:rPr>
              <w:t xml:space="preserve">Įmonės mokėtinų sumų ir įsipareigojimų apskaitos duomenų </w:t>
            </w:r>
            <w:r w:rsidRPr="00785370">
              <w:t>registravimas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 w:val="restar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4. Tvarkyti apskaičiuoto ir išmokėto atlygio darbuotojui apskaitą. </w:t>
            </w: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4.1.</w:t>
            </w:r>
            <w:r w:rsidR="0099242F" w:rsidRPr="00785370">
              <w:t xml:space="preserve"> </w:t>
            </w:r>
            <w:r w:rsidR="0099242F" w:rsidRPr="00785370">
              <w:rPr>
                <w:bCs/>
              </w:rPr>
              <w:t xml:space="preserve">Apibūdinti darbo apmokėjimo formas, sistemas ir </w:t>
            </w:r>
            <w:r w:rsidR="0099242F" w:rsidRPr="00785370">
              <w:t>Lietuvos Respublikos teisės aktus, reglamentuojančius darbo apmokėjimą.</w:t>
            </w:r>
          </w:p>
        </w:tc>
        <w:tc>
          <w:tcPr>
            <w:tcW w:w="2924" w:type="pct"/>
          </w:tcPr>
          <w:p w:rsidR="0099242F" w:rsidRPr="00785370" w:rsidRDefault="0099242F" w:rsidP="0099242F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Teisės aktai, reglamentuojantys darbo apmokėjimą</w:t>
            </w:r>
          </w:p>
          <w:p w:rsidR="0099242F" w:rsidRPr="00785370" w:rsidRDefault="0099242F" w:rsidP="0099242F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Lietuvos Respublikos teisės aktai, reglamentuojantys darbo apmokėjimą</w:t>
            </w:r>
          </w:p>
          <w:p w:rsidR="00125A3C" w:rsidRPr="00785370" w:rsidRDefault="0099242F" w:rsidP="0099242F">
            <w:pPr>
              <w:pStyle w:val="NoSpacing"/>
              <w:widowControl w:val="0"/>
            </w:pPr>
            <w:r w:rsidRPr="00785370">
              <w:t>Darbo apmokėjimo formos ir sistemos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4.2.</w:t>
            </w:r>
            <w:r w:rsidR="0099242F" w:rsidRPr="00785370">
              <w:t xml:space="preserve"> Apskaičiuoti darbuotojų darbo užmokestį ir išskaičiuoti iš jo mokesčius.</w:t>
            </w:r>
          </w:p>
        </w:tc>
        <w:tc>
          <w:tcPr>
            <w:tcW w:w="2924" w:type="pct"/>
          </w:tcPr>
          <w:p w:rsidR="0099242F" w:rsidRPr="00785370" w:rsidRDefault="0099242F" w:rsidP="0099242F">
            <w:pPr>
              <w:pStyle w:val="NoSpacing"/>
              <w:widowControl w:val="0"/>
              <w:rPr>
                <w:b/>
                <w:i/>
              </w:rPr>
            </w:pPr>
            <w:r w:rsidRPr="00785370">
              <w:rPr>
                <w:b/>
              </w:rPr>
              <w:t>Tema.</w:t>
            </w:r>
            <w:r w:rsidRPr="00785370">
              <w:t xml:space="preserve"> </w:t>
            </w:r>
            <w:r w:rsidRPr="00785370">
              <w:rPr>
                <w:b/>
                <w:i/>
              </w:rPr>
              <w:t>Darbo užmokesčio apskaičiavimas ir išskaitymai iš jo</w:t>
            </w:r>
          </w:p>
          <w:p w:rsidR="0099242F" w:rsidRPr="00785370" w:rsidRDefault="0099242F" w:rsidP="0099242F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Darbo apmokėjimo dokumentai ir darbo užmokesčio apskaičiavimas</w:t>
            </w:r>
          </w:p>
          <w:p w:rsidR="0099242F" w:rsidRPr="00785370" w:rsidRDefault="0099242F" w:rsidP="0099242F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Vidutinio darbo užmokesčio apskaičiavimo tvarka ir taikymo atvejai</w:t>
            </w:r>
          </w:p>
          <w:p w:rsidR="0099242F" w:rsidRPr="00785370" w:rsidRDefault="0099242F" w:rsidP="0099242F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Atostogų suteikimas ir atostoginių išmokų apskaičiavimas</w:t>
            </w:r>
          </w:p>
          <w:p w:rsidR="0099242F" w:rsidRPr="00785370" w:rsidRDefault="0099242F" w:rsidP="0099242F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Ligos pašalpos apskaičiavimas</w:t>
            </w:r>
          </w:p>
          <w:p w:rsidR="0099242F" w:rsidRPr="00785370" w:rsidRDefault="0099242F" w:rsidP="0099242F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Kompensacija už nepanaudotas atostogas</w:t>
            </w:r>
          </w:p>
          <w:p w:rsidR="0099242F" w:rsidRPr="00785370" w:rsidRDefault="0099242F" w:rsidP="0099242F">
            <w:pPr>
              <w:widowControl w:val="0"/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Mokesčiai, susiję su darbo santykiais</w:t>
            </w:r>
          </w:p>
          <w:p w:rsidR="0099242F" w:rsidRPr="00785370" w:rsidRDefault="0099242F" w:rsidP="0099242F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Gyventojų pajamų mokestis</w:t>
            </w:r>
          </w:p>
          <w:p w:rsidR="0099242F" w:rsidRPr="00785370" w:rsidRDefault="0099242F" w:rsidP="0099242F">
            <w:pPr>
              <w:pStyle w:val="NoSpacing"/>
              <w:widowControl w:val="0"/>
              <w:numPr>
                <w:ilvl w:val="0"/>
                <w:numId w:val="4"/>
              </w:numPr>
              <w:ind w:left="0" w:firstLine="0"/>
              <w:rPr>
                <w:bCs/>
              </w:rPr>
            </w:pPr>
            <w:r w:rsidRPr="00785370">
              <w:rPr>
                <w:bCs/>
              </w:rPr>
              <w:t>Socialinio draudimo ir sveikatos draudimo mokestis</w:t>
            </w:r>
          </w:p>
          <w:p w:rsidR="00125A3C" w:rsidRPr="00785370" w:rsidRDefault="0099242F" w:rsidP="0099242F">
            <w:pPr>
              <w:pStyle w:val="NoSpacing"/>
              <w:widowControl w:val="0"/>
            </w:pPr>
            <w:r w:rsidRPr="00785370">
              <w:rPr>
                <w:bCs/>
              </w:rPr>
              <w:t>Išskaitos iš darbo užmokesčio pagal vykdomuosius raštus. Kitos išskaitos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4.3.</w:t>
            </w:r>
            <w:r w:rsidR="00CE0881" w:rsidRPr="00785370">
              <w:t xml:space="preserve"> </w:t>
            </w:r>
            <w:r w:rsidR="00CE0881" w:rsidRPr="00785370">
              <w:rPr>
                <w:bCs/>
              </w:rPr>
              <w:t>Užregistruoti apskaičiuotą darbo užmokestį ir su juo susijusius išskaitymus buhalterinėse apskaitos sąskaitose, naudojantis darbo apmokėjimo dokumentais.</w:t>
            </w:r>
          </w:p>
        </w:tc>
        <w:tc>
          <w:tcPr>
            <w:tcW w:w="2924" w:type="pct"/>
          </w:tcPr>
          <w:p w:rsidR="00CE0881" w:rsidRPr="00785370" w:rsidRDefault="00CE0881" w:rsidP="00CE0881">
            <w:pPr>
              <w:pStyle w:val="NoSpacing"/>
              <w:widowControl w:val="0"/>
              <w:rPr>
                <w:b/>
                <w:i/>
              </w:rPr>
            </w:pPr>
            <w:r w:rsidRPr="00785370">
              <w:rPr>
                <w:b/>
              </w:rPr>
              <w:t xml:space="preserve">Tema. </w:t>
            </w:r>
            <w:r w:rsidRPr="00785370">
              <w:rPr>
                <w:b/>
                <w:i/>
              </w:rPr>
              <w:t>Darbo užmokesčio apskaitos duomenų registravimas sąskaitose</w:t>
            </w:r>
          </w:p>
          <w:p w:rsidR="00CE0881" w:rsidRPr="00785370" w:rsidRDefault="00CE0881" w:rsidP="00CE0881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 w:rsidRPr="00785370">
              <w:t>Darbo užmokesčio ir su juo susijusių atskaitymų registravimas sintetinėse sąskaitose</w:t>
            </w:r>
          </w:p>
          <w:p w:rsidR="00125A3C" w:rsidRPr="00785370" w:rsidRDefault="00CE0881" w:rsidP="00CE0881">
            <w:pPr>
              <w:pStyle w:val="NoSpacing"/>
              <w:widowControl w:val="0"/>
              <w:numPr>
                <w:ilvl w:val="0"/>
                <w:numId w:val="17"/>
              </w:numPr>
              <w:ind w:left="0" w:firstLine="0"/>
            </w:pPr>
            <w:r w:rsidRPr="00785370">
              <w:t>Darbo užmokesčio ir su juo susijusių atskaitymų registravimas analitinėse sąskaitose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4.4.</w:t>
            </w:r>
            <w:r w:rsidR="00CE0881" w:rsidRPr="00785370">
              <w:t xml:space="preserve"> </w:t>
            </w:r>
            <w:r w:rsidR="00CE0881" w:rsidRPr="00785370">
              <w:rPr>
                <w:bCs/>
              </w:rPr>
              <w:t>P</w:t>
            </w:r>
            <w:r w:rsidR="00CE0881" w:rsidRPr="00785370">
              <w:t>arengti mokestines ataskaitas, naudojantis darbo užmokesčio ir su juo susijusių mokesčių duomenimis.</w:t>
            </w:r>
          </w:p>
        </w:tc>
        <w:tc>
          <w:tcPr>
            <w:tcW w:w="2924" w:type="pct"/>
          </w:tcPr>
          <w:p w:rsidR="00CE0881" w:rsidRPr="00785370" w:rsidRDefault="00CE0881" w:rsidP="00CE0881">
            <w:pPr>
              <w:pStyle w:val="NoSpacing"/>
              <w:widowControl w:val="0"/>
              <w:rPr>
                <w:b/>
                <w:i/>
              </w:rPr>
            </w:pPr>
            <w:r w:rsidRPr="00785370">
              <w:rPr>
                <w:b/>
              </w:rPr>
              <w:t xml:space="preserve">Tema. </w:t>
            </w:r>
            <w:r w:rsidRPr="00785370">
              <w:rPr>
                <w:b/>
                <w:i/>
              </w:rPr>
              <w:t>Mokestinių ataskaitų, susijusių su darbo užmokesčiu, rengimas</w:t>
            </w:r>
          </w:p>
          <w:p w:rsidR="00CE0881" w:rsidRPr="00785370" w:rsidRDefault="00CE0881" w:rsidP="00CE0881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785370">
              <w:t>Mokestinės deklaracijos Valstybinei mokesčių inspekcijai (VMI)</w:t>
            </w:r>
          </w:p>
          <w:p w:rsidR="00125A3C" w:rsidRPr="00785370" w:rsidRDefault="00CE0881" w:rsidP="00CE0881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785370">
              <w:t>Pranešimai ,,Sodrai“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4.5.</w:t>
            </w:r>
            <w:r w:rsidR="00CE0881" w:rsidRPr="00785370">
              <w:t xml:space="preserve"> Suvesti apskaičiuoto ir išmokėto atlygio darbuotojui apskaitos.</w:t>
            </w:r>
          </w:p>
        </w:tc>
        <w:tc>
          <w:tcPr>
            <w:tcW w:w="2924" w:type="pct"/>
          </w:tcPr>
          <w:p w:rsidR="00CE0881" w:rsidRPr="00785370" w:rsidRDefault="00CE0881" w:rsidP="00CE0881">
            <w:pPr>
              <w:pStyle w:val="NoSpacing"/>
              <w:widowControl w:val="0"/>
            </w:pPr>
            <w:r w:rsidRPr="00785370">
              <w:rPr>
                <w:b/>
              </w:rPr>
              <w:t xml:space="preserve">Tema. </w:t>
            </w:r>
            <w:r w:rsidRPr="00785370">
              <w:rPr>
                <w:b/>
                <w:i/>
              </w:rPr>
              <w:t>Kompiuterizuotas informacijos apdorojimas</w:t>
            </w:r>
          </w:p>
          <w:p w:rsidR="00125A3C" w:rsidRPr="00785370" w:rsidRDefault="00CE0881" w:rsidP="00CE0881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785370">
              <w:t xml:space="preserve">Pradinių duomenų </w:t>
            </w:r>
            <w:r w:rsidRPr="00785370">
              <w:rPr>
                <w:bCs/>
              </w:rPr>
              <w:t>suvedimas</w:t>
            </w:r>
          </w:p>
          <w:p w:rsidR="00CE0881" w:rsidRPr="00785370" w:rsidRDefault="00CE0881" w:rsidP="00CE0881">
            <w:pPr>
              <w:pStyle w:val="NoSpacing"/>
              <w:widowControl w:val="0"/>
              <w:numPr>
                <w:ilvl w:val="0"/>
                <w:numId w:val="18"/>
              </w:numPr>
              <w:ind w:left="0" w:firstLine="0"/>
            </w:pPr>
            <w:r w:rsidRPr="00785370">
              <w:rPr>
                <w:bCs/>
              </w:rPr>
              <w:t>Darbo užmokesčio ir su juo susijusių atskaitymų apskaitos duomenų registravimas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 w:val="restar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>5. Tvarkyti pajamų ir sąnaudų apskaitą.</w:t>
            </w: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5.1. </w:t>
            </w:r>
            <w:r w:rsidR="002A50CC" w:rsidRPr="00785370">
              <w:t>Apibūdinti pajamų, sąnaudų ir pelno sąvokas, pajamų ir sąnaudų pripažinimo apskaitoje tvarką ir jų sudėtį.</w:t>
            </w:r>
          </w:p>
        </w:tc>
        <w:tc>
          <w:tcPr>
            <w:tcW w:w="2924" w:type="pct"/>
          </w:tcPr>
          <w:p w:rsidR="002A50CC" w:rsidRPr="00785370" w:rsidRDefault="002A50CC" w:rsidP="002A50CC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Bendros žinios apie pajamų uždirbimą ir sąnaudų patyrimą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Pajamų, sąnaudų ir pelno sąvokų apibūdinimas</w:t>
            </w:r>
          </w:p>
          <w:p w:rsidR="00125A3C" w:rsidRPr="00785370" w:rsidRDefault="002A50CC" w:rsidP="002A50CC">
            <w:pPr>
              <w:pStyle w:val="ListParagraph"/>
              <w:widowControl w:val="0"/>
              <w:numPr>
                <w:ilvl w:val="0"/>
                <w:numId w:val="2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Pajamų ir sąnaudų pripažinimo apskaitoje tvarka ir jų sudėtis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5.2. </w:t>
            </w:r>
            <w:r w:rsidR="002A50CC" w:rsidRPr="00785370">
              <w:rPr>
                <w:bCs/>
              </w:rPr>
              <w:t>Užregistruoti buhalterinėse sąskaitose nustatytą pajamų ir išlaidų pripažintų sąnaudomis dydį, pridėtinės vertės mokestį.</w:t>
            </w:r>
          </w:p>
        </w:tc>
        <w:tc>
          <w:tcPr>
            <w:tcW w:w="2924" w:type="pct"/>
          </w:tcPr>
          <w:p w:rsidR="002A50CC" w:rsidRPr="00785370" w:rsidRDefault="002A50CC" w:rsidP="00A110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Pajamų dydžio nustatymas. Pajamų rūšys ir jų apskaita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Pardavimų apskaita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Pardavimų apimtį mažinantys straipsniai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Kitos veiklos pajamos ir jų apskaita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20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Finansinės ir investicinės veiklos pajamų apskaita</w:t>
            </w:r>
          </w:p>
          <w:p w:rsidR="002A50CC" w:rsidRPr="00785370" w:rsidRDefault="002A50CC" w:rsidP="00A110F3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>Tema.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Išlaidų pripažinimas sąnaudomis ir jų apskaita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Pardavimų savikainos apskaičiavimas ir apskaita</w:t>
            </w:r>
          </w:p>
          <w:p w:rsidR="00A110F3" w:rsidRPr="00785370" w:rsidRDefault="002A50CC" w:rsidP="00A110F3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Pardavimo ir bendrųjų administracinių sąnaudų pripažinimas ir apskaita</w:t>
            </w:r>
          </w:p>
          <w:p w:rsidR="00125A3C" w:rsidRPr="00785370" w:rsidRDefault="002A50CC" w:rsidP="00A110F3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Kitos veiklos, finansinės ir investicinės veiklos sąnaudos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5.3. </w:t>
            </w:r>
            <w:r w:rsidR="002A50CC" w:rsidRPr="00785370">
              <w:t>Apskaičiuoti bendrojo ir grynojo pelno rodiklį.</w:t>
            </w:r>
          </w:p>
        </w:tc>
        <w:tc>
          <w:tcPr>
            <w:tcW w:w="2924" w:type="pct"/>
          </w:tcPr>
          <w:p w:rsidR="002A50CC" w:rsidRPr="00785370" w:rsidRDefault="002A50CC" w:rsidP="002A50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i/>
                <w:strike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Pr="007853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Įmonės veiklos rezultatų apskaičiavimas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Apskaitinis ir apmokestinamasis pelnas</w:t>
            </w:r>
          </w:p>
          <w:p w:rsidR="002A50CC" w:rsidRPr="00785370" w:rsidRDefault="002A50CC" w:rsidP="002A50C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Pelno mokestis</w:t>
            </w:r>
          </w:p>
          <w:p w:rsidR="00125A3C" w:rsidRPr="00785370" w:rsidRDefault="002A50CC" w:rsidP="002A50CC">
            <w:pPr>
              <w:pStyle w:val="ListParagraph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Grynasis ataskaitinių metų pelnas</w:t>
            </w:r>
          </w:p>
        </w:tc>
      </w:tr>
      <w:tr w:rsidR="00125A3C" w:rsidRPr="00785370" w:rsidTr="00A110F3">
        <w:trPr>
          <w:trHeight w:val="57"/>
          <w:jc w:val="center"/>
        </w:trPr>
        <w:tc>
          <w:tcPr>
            <w:tcW w:w="947" w:type="pct"/>
            <w:vMerge/>
          </w:tcPr>
          <w:p w:rsidR="00125A3C" w:rsidRPr="00785370" w:rsidRDefault="00125A3C" w:rsidP="00125A3C">
            <w:pPr>
              <w:pStyle w:val="NoSpacing"/>
              <w:widowControl w:val="0"/>
            </w:pPr>
          </w:p>
        </w:tc>
        <w:tc>
          <w:tcPr>
            <w:tcW w:w="1129" w:type="pct"/>
          </w:tcPr>
          <w:p w:rsidR="00125A3C" w:rsidRPr="00785370" w:rsidRDefault="00125A3C" w:rsidP="00125A3C">
            <w:pPr>
              <w:pStyle w:val="NoSpacing"/>
              <w:widowControl w:val="0"/>
            </w:pPr>
            <w:r w:rsidRPr="00785370">
              <w:t xml:space="preserve">5.4. </w:t>
            </w:r>
            <w:r w:rsidR="002A50CC" w:rsidRPr="00785370">
              <w:t>Suvesti</w:t>
            </w:r>
            <w:r w:rsidR="002A50CC" w:rsidRPr="00785370">
              <w:rPr>
                <w:b/>
              </w:rPr>
              <w:t xml:space="preserve"> </w:t>
            </w:r>
            <w:r w:rsidR="002A50CC" w:rsidRPr="00785370">
              <w:t>pajamų ir sąnaudų apskaitos duomenis, naudojantis kompiuterizuotomis apskaitos programomis.</w:t>
            </w:r>
          </w:p>
        </w:tc>
        <w:tc>
          <w:tcPr>
            <w:tcW w:w="2924" w:type="pct"/>
          </w:tcPr>
          <w:p w:rsidR="002A50CC" w:rsidRPr="00785370" w:rsidRDefault="002A50CC" w:rsidP="002A50CC">
            <w:pPr>
              <w:pStyle w:val="NoSpacing"/>
              <w:widowControl w:val="0"/>
              <w:rPr>
                <w:b/>
                <w:i/>
              </w:rPr>
            </w:pPr>
            <w:r w:rsidRPr="00785370">
              <w:rPr>
                <w:b/>
              </w:rPr>
              <w:t>Tema.</w:t>
            </w:r>
            <w:r w:rsidRPr="00785370">
              <w:t xml:space="preserve"> </w:t>
            </w:r>
            <w:r w:rsidRPr="00785370">
              <w:rPr>
                <w:b/>
                <w:i/>
              </w:rPr>
              <w:t>Kompiuterizuotas informacijos apdorojimas</w:t>
            </w:r>
          </w:p>
          <w:p w:rsidR="002A50CC" w:rsidRPr="00785370" w:rsidRDefault="002A50CC" w:rsidP="002A50CC">
            <w:pPr>
              <w:pStyle w:val="NoSpacing"/>
              <w:widowControl w:val="0"/>
              <w:numPr>
                <w:ilvl w:val="0"/>
                <w:numId w:val="15"/>
              </w:numPr>
              <w:ind w:left="0" w:firstLine="0"/>
            </w:pPr>
            <w:r w:rsidRPr="00785370">
              <w:t>Pajamų ir sąnaudų apskaitos duomenų formavimas</w:t>
            </w:r>
          </w:p>
          <w:p w:rsidR="002A50CC" w:rsidRPr="00785370" w:rsidRDefault="002A50CC" w:rsidP="002A50CC">
            <w:pPr>
              <w:pStyle w:val="NoSpacing"/>
              <w:widowControl w:val="0"/>
              <w:numPr>
                <w:ilvl w:val="0"/>
                <w:numId w:val="15"/>
              </w:numPr>
              <w:ind w:left="0" w:firstLine="0"/>
            </w:pPr>
            <w:r w:rsidRPr="00785370">
              <w:t>Pajamų ir sąnaudų apskaitos duomenų registravimas</w:t>
            </w:r>
          </w:p>
          <w:p w:rsidR="00125A3C" w:rsidRPr="00785370" w:rsidRDefault="002A50CC" w:rsidP="002A50CC">
            <w:pPr>
              <w:pStyle w:val="NoSpacing"/>
              <w:widowControl w:val="0"/>
              <w:numPr>
                <w:ilvl w:val="0"/>
                <w:numId w:val="15"/>
              </w:numPr>
              <w:ind w:left="0" w:firstLine="0"/>
            </w:pPr>
            <w:r w:rsidRPr="00785370">
              <w:t>Informacijos sutikrinimo procedūrų atlikimas</w:t>
            </w:r>
          </w:p>
        </w:tc>
      </w:tr>
      <w:tr w:rsidR="00125A3C" w:rsidRPr="00785370" w:rsidTr="00B15AC2">
        <w:trPr>
          <w:trHeight w:val="57"/>
          <w:jc w:val="center"/>
        </w:trPr>
        <w:tc>
          <w:tcPr>
            <w:tcW w:w="947" w:type="pct"/>
          </w:tcPr>
          <w:p w:rsidR="00125A3C" w:rsidRPr="00785370" w:rsidRDefault="00125A3C" w:rsidP="00125A3C">
            <w:pPr>
              <w:pStyle w:val="NoSpacing"/>
              <w:widowControl w:val="0"/>
              <w:rPr>
                <w:highlight w:val="yellow"/>
              </w:rPr>
            </w:pPr>
            <w:r w:rsidRPr="00785370">
              <w:t xml:space="preserve">Mokymosi pasiekimų vertinimo kriterijai </w:t>
            </w:r>
          </w:p>
        </w:tc>
        <w:tc>
          <w:tcPr>
            <w:tcW w:w="4053" w:type="pct"/>
            <w:gridSpan w:val="2"/>
          </w:tcPr>
          <w:p w:rsidR="00CD6EEA" w:rsidRPr="00785370" w:rsidRDefault="0060678C" w:rsidP="00CE08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Apibūdinti i</w:t>
            </w: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lgalaikio turto apskaitą reglamentuojantys norminiai dokumentai.</w:t>
            </w:r>
            <w:r w:rsidR="00E73BCA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Paaiškinti</w:t>
            </w:r>
            <w:r w:rsidR="000C3E97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ilgalaikio turto nusidėvėjimo sąvokos, skirtingi ilgalaikio turto nusidėvėjimo apskaičiavimo metodai bei ilgalaikio turto remonto išlaidų apskaičiavimas ir nurašymas.</w:t>
            </w:r>
            <w:r w:rsidR="001754C8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73BCA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54C8"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Apibrėžta ilgalaikio materialaus turto įsigijimo savikaina. </w:t>
            </w:r>
            <w:r w:rsidR="001754C8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Paaiškintos pagrindinės ilgalaikio turto nusidėvėjimo (amortizacijos) sąvokos ir apibūdinti ilgalaikio turto nusidėvėjimo apskaitos metodai. Apibūdinti ilgalaikio turto remonto ir nurašymo apskaitos ypatumai. </w:t>
            </w:r>
            <w:r w:rsidR="00E73BCA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Parinkti</w:t>
            </w:r>
            <w:r w:rsidR="001754C8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surašyti</w:t>
            </w:r>
            <w:r w:rsidR="00E73BCA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ilgalaikio turto</w:t>
            </w:r>
            <w:r w:rsidR="00681BBD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per vienerius metus gautinų sumų </w:t>
            </w:r>
            <w:r w:rsidR="00E73BCA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apskaitos dokumentai.</w:t>
            </w:r>
            <w:r w:rsidR="001754C8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Patikrintas duomenų surašymo teisingumas ir rekvizitų tikslumas. </w:t>
            </w:r>
            <w:r w:rsidR="001754C8" w:rsidRPr="00785370">
              <w:rPr>
                <w:rFonts w:ascii="Times New Roman" w:hAnsi="Times New Roman" w:cs="Times New Roman"/>
                <w:sz w:val="24"/>
                <w:szCs w:val="24"/>
              </w:rPr>
              <w:t>Nustatyta ilgalaikio turto</w:t>
            </w:r>
            <w:r w:rsidR="00D071FE"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savikaina. Pritaikytas ilgalaikio materialaus turto nusidėvėjimo skaičiavimo metodas. Užregistruotas ilgalaikio turto nusidėvėjimas ir remonto išlaidos. </w:t>
            </w:r>
            <w:r w:rsidR="00CD6EEA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Užregistruotos gautinos sumos ir kitas trumpalaikis turtas buhalterinėse sintetinėse ir analitinėse sąskaitose</w:t>
            </w:r>
            <w:r w:rsidR="00681BBD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1D0540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1BBD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Suvesti ilgalaikio turto, gautinų sumų ir kito trumpalaikio turto apskaitos</w:t>
            </w:r>
            <w:r w:rsidR="00CE0881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duomenys, </w:t>
            </w:r>
            <w:r w:rsidR="00681BBD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naudojantis kompiuterizuotomis apskaitos programomis.</w:t>
            </w:r>
            <w:r w:rsidR="00CE0881"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0881" w:rsidRPr="00785370" w:rsidRDefault="00CE0881" w:rsidP="00CE0881">
            <w:pPr>
              <w:pStyle w:val="NoSpacing"/>
              <w:widowControl w:val="0"/>
              <w:jc w:val="both"/>
              <w:rPr>
                <w:strike/>
              </w:rPr>
            </w:pPr>
            <w:r w:rsidRPr="00785370">
              <w:t xml:space="preserve">Apibūdinti ilgalaikiai, trumpalaikiai įsipareigojimai ir įmonės įsipareigojimai biudžetui. </w:t>
            </w:r>
            <w:r w:rsidRPr="00785370">
              <w:rPr>
                <w:bCs/>
              </w:rPr>
              <w:t xml:space="preserve">Apibūdintos darbo apmokėjimo formos, sistemos ir </w:t>
            </w:r>
            <w:r w:rsidRPr="00785370">
              <w:t xml:space="preserve">Lietuvos Respublikos teisės aktai, reglamentuojantys darbo apmokėjimą. </w:t>
            </w:r>
            <w:r w:rsidRPr="00785370">
              <w:rPr>
                <w:bCs/>
              </w:rPr>
              <w:t xml:space="preserve">Apibūdinti įmonės įsipareigojimų, </w:t>
            </w:r>
            <w:r w:rsidRPr="00785370">
              <w:t xml:space="preserve">darbuotojų priėmimo į darbą ir darbo užmokesčio apskaitos dokumentai. Paaiškintos atostogų suteikimo ir apmokėjimo, vidutinio darbo užmokesčio, ligos pašalpos nuostatos. Paaiškinta įmonės įsipareigojimų apskaita, </w:t>
            </w:r>
            <w:r w:rsidRPr="00785370">
              <w:rPr>
                <w:bCs/>
              </w:rPr>
              <w:t>d</w:t>
            </w:r>
            <w:r w:rsidRPr="00785370">
              <w:t>arbo užmokesčio apskaičiavimas ir su juo susiję išskaitymai bei šių ūkinių operacijų registravimas buhalterinėse sąskaitose. Paaiškintas įmonės skolų (kreditorių) inventorizavimas.</w:t>
            </w:r>
          </w:p>
          <w:p w:rsidR="00CE0881" w:rsidRPr="00785370" w:rsidRDefault="00CE0881" w:rsidP="00CE088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Užpildyti įmonės įsipareigojimų apskaitos dokumentai ir užregistruotos įmonės skolos apskaitos registruose. Užpildyti darbo apmokėjimo dokumentai. Ap</w:t>
            </w: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skaičiuotas darbuotojų darbo užmokestis ir išskaičiuoti su darbo santykiais susiję mokesčiai. Apskaičiuotas vidutinis darbo užmokestis, ligos pašalpa, darbo užmokestis už kasmetines atostogas, kompensacija už nepanaudotas atostogas. Už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registruoti </w:t>
            </w: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mokėtinų sumų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, apskaičiuoto darbo užmokesčio ir su juo susijusių atskaitymų duomenys, buhalterinėse </w:t>
            </w: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apskaitos sąskaitose. 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Parengtos </w:t>
            </w:r>
            <w:r w:rsidRPr="0078537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mokesčių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deklaracijos susijusios su darbo užmokesčiu ir su juo susijusių įmokų duomenimis. Suvesti m</w:t>
            </w: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okėtinų sumų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, apskaičiuoto ir išmokėto atlygio darbuotojui apskaitos duomenys, naudojantis kompiuterizuotomis apskaitos programomis.</w:t>
            </w:r>
          </w:p>
          <w:p w:rsidR="00CE0881" w:rsidRPr="00785370" w:rsidRDefault="00E86059" w:rsidP="00E8605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>Apibūdintos pajamų, sąnaudų ir pelno sąvokos. Paaiškinta pajamų ir sąnaudų pripažinimo apskaitoje tvarka ir jų sudėtis.</w:t>
            </w:r>
            <w:r w:rsidR="00785370" w:rsidRPr="0078537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Užregistruotas buhalterinėse sąskaitose nustatytas pajamų ir išlaidų, pripažintų sąnaudomis, dydis bei pridėtinės vertės mokestis. Apskaičiuoti bendrojo ir grynojo pelno rodikliai. Suvesti pajamų ir sąnaudų apskaitos duomenys, naudojantis kompiuterizuotomis apskaitos programomis. 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25A3C" w:rsidRPr="00785370" w:rsidTr="00B15AC2">
        <w:trPr>
          <w:trHeight w:val="57"/>
          <w:jc w:val="center"/>
        </w:trPr>
        <w:tc>
          <w:tcPr>
            <w:tcW w:w="947" w:type="pct"/>
          </w:tcPr>
          <w:p w:rsidR="00125A3C" w:rsidRPr="00785370" w:rsidRDefault="00125A3C" w:rsidP="00125A3C">
            <w:pPr>
              <w:pStyle w:val="2vidutinistinklelis1"/>
              <w:widowControl w:val="0"/>
            </w:pPr>
            <w:r w:rsidRPr="00785370"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:rsidR="00125A3C" w:rsidRPr="00785370" w:rsidRDefault="00125A3C" w:rsidP="00125A3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i/>
                <w:sz w:val="24"/>
                <w:szCs w:val="24"/>
              </w:rPr>
              <w:t>Mokymo(si) medžiaga: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Vadovėliai ir kita mokomoji medžiaga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buhalterinės apskaitos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įmonių finansinės atskaitomybės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įmonių grupių konsoliduotosios finansinės atskaitomybės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darbo kodekso patvirtinimo, įsigaliojimo ir įgyvendinimo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mokesčių administravimo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gyventojų pajamų mokesčio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pelno mokesčio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pridėtinės vertės mokesčio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 Respublikos valstybinio socialinio draudimo įstatymas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Verslo apskaitos standartai (VAS)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Tarptautiniai apskaitos standartai (TAS)</w:t>
            </w:r>
          </w:p>
          <w:p w:rsidR="00125A3C" w:rsidRPr="00785370" w:rsidRDefault="00125A3C" w:rsidP="00125A3C">
            <w:pPr>
              <w:pStyle w:val="NoSpacing"/>
              <w:widowControl w:val="0"/>
              <w:rPr>
                <w:rFonts w:eastAsia="Calibri"/>
                <w:i/>
              </w:rPr>
            </w:pPr>
            <w:r w:rsidRPr="00785370">
              <w:rPr>
                <w:rFonts w:eastAsia="Calibri"/>
                <w:i/>
              </w:rPr>
              <w:t>Mokymo(si) priemonės: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Techninės priemonės mokymo(si) medžiagai iliustruoti, vizualizuoti, pristatyti</w:t>
            </w:r>
          </w:p>
          <w:p w:rsidR="00D071FE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Kompiuterinės apskaitos programos</w:t>
            </w:r>
          </w:p>
          <w:p w:rsidR="00125A3C" w:rsidRPr="00785370" w:rsidRDefault="00D071FE" w:rsidP="00D071FE">
            <w:pPr>
              <w:pStyle w:val="ListParagraph"/>
              <w:widowControl w:val="0"/>
              <w:numPr>
                <w:ilvl w:val="0"/>
                <w:numId w:val="4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Apskaitos e-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dokumentų blankai</w:t>
            </w:r>
          </w:p>
        </w:tc>
      </w:tr>
      <w:tr w:rsidR="00125A3C" w:rsidRPr="00785370" w:rsidTr="00B15AC2">
        <w:trPr>
          <w:trHeight w:val="57"/>
          <w:jc w:val="center"/>
        </w:trPr>
        <w:tc>
          <w:tcPr>
            <w:tcW w:w="947" w:type="pct"/>
          </w:tcPr>
          <w:p w:rsidR="00125A3C" w:rsidRPr="00785370" w:rsidRDefault="00125A3C" w:rsidP="00125A3C">
            <w:pPr>
              <w:pStyle w:val="2vidutinistinklelis1"/>
              <w:widowControl w:val="0"/>
            </w:pPr>
            <w:r w:rsidRPr="00785370">
              <w:t>Reikalavimai teorinio ir praktinio mokymo vietai</w:t>
            </w:r>
          </w:p>
        </w:tc>
        <w:tc>
          <w:tcPr>
            <w:tcW w:w="4053" w:type="pct"/>
            <w:gridSpan w:val="2"/>
          </w:tcPr>
          <w:p w:rsidR="00125A3C" w:rsidRPr="00785370" w:rsidRDefault="00125A3C" w:rsidP="00125A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Klasė ar kita mokymui(si) pritaikyta patalpa su techninėmis priemonėmis (</w:t>
            </w:r>
            <w:r w:rsidR="00374DA9" w:rsidRPr="00785370">
              <w:rPr>
                <w:rFonts w:ascii="Times New Roman" w:hAnsi="Times New Roman" w:cs="Times New Roman"/>
                <w:sz w:val="24"/>
                <w:szCs w:val="24"/>
              </w:rPr>
              <w:t>kompiuteriu, vaizdo projektoriumi</w:t>
            </w: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) mokymo(si) medžiagai pateikti.</w:t>
            </w:r>
          </w:p>
          <w:p w:rsidR="00125A3C" w:rsidRPr="00785370" w:rsidRDefault="00125A3C" w:rsidP="00374DA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(patalpa), aprūpinta </w:t>
            </w:r>
            <w:r w:rsidR="00374DA9" w:rsidRPr="00785370">
              <w:rPr>
                <w:rFonts w:ascii="Times New Roman" w:hAnsi="Times New Roman" w:cs="Times New Roman"/>
                <w:sz w:val="24"/>
                <w:szCs w:val="24"/>
              </w:rPr>
              <w:t>kompiuteriais bei biuro technika.</w:t>
            </w:r>
          </w:p>
        </w:tc>
      </w:tr>
      <w:tr w:rsidR="00125A3C" w:rsidRPr="00785370" w:rsidTr="00B15AC2">
        <w:trPr>
          <w:trHeight w:val="57"/>
          <w:jc w:val="center"/>
        </w:trPr>
        <w:tc>
          <w:tcPr>
            <w:tcW w:w="947" w:type="pct"/>
          </w:tcPr>
          <w:p w:rsidR="00125A3C" w:rsidRPr="00785370" w:rsidRDefault="00125A3C" w:rsidP="00125A3C">
            <w:pPr>
              <w:pStyle w:val="2vidutinistinklelis1"/>
              <w:widowControl w:val="0"/>
            </w:pPr>
            <w:r w:rsidRPr="00785370">
              <w:t>Kvalifikaciniai ir kompetencijų reikalavimai mokytojams (dėstytojams)</w:t>
            </w:r>
          </w:p>
        </w:tc>
        <w:tc>
          <w:tcPr>
            <w:tcW w:w="4053" w:type="pct"/>
            <w:gridSpan w:val="2"/>
          </w:tcPr>
          <w:p w:rsidR="00125A3C" w:rsidRPr="00785370" w:rsidRDefault="00125A3C" w:rsidP="00125A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:rsidR="00125A3C" w:rsidRPr="00785370" w:rsidRDefault="00125A3C" w:rsidP="00125A3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5370">
              <w:rPr>
                <w:rFonts w:ascii="Times New Roman" w:hAnsi="Times New Roman" w:cs="Times New Roman"/>
                <w:sz w:val="24"/>
                <w:szCs w:val="24"/>
              </w:rPr>
              <w:t>1) Lietuvos Respublikos švietimo įstatyme ir Reikalavimų mokytojų kvalifikacijai apraše, patvirtintame Lietuvos Respublikos švietimo, mokslo ir sporto ministro 2014 m. rugpjūčio 29 d. įsakymu Nr. V-774 „Dėl Reikalavimų mokytojų kvalifikacijai aprašo patvirtinimo“, nustatytą išsilavinimą ir kvalifikaciją;</w:t>
            </w:r>
          </w:p>
          <w:p w:rsidR="00125A3C" w:rsidRPr="00785370" w:rsidRDefault="00125A3C" w:rsidP="00D071FE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785370">
              <w:t xml:space="preserve">2) </w:t>
            </w:r>
            <w:r w:rsidR="00D071FE" w:rsidRPr="00785370">
              <w:t xml:space="preserve">apskaitininko ar apskaitininko ir kasininko, ar lygiavertę kvalifikaciją arba ekonomikos ar finansų, ar apskaitos studijų krypties, ar lygiavertį išsilavinimą arba ne mažesnę kaip 3 metų </w:t>
            </w:r>
            <w:r w:rsidR="00D071FE" w:rsidRPr="00785370">
              <w:rPr>
                <w:shd w:val="clear" w:color="auto" w:fill="FFFFFF"/>
              </w:rPr>
              <w:t>apskaitininko ir kasininko ar apskaitininko</w:t>
            </w:r>
            <w:r w:rsidR="00D071FE" w:rsidRPr="00785370">
              <w:t xml:space="preserve"> profesinės veiklos patirtį.</w:t>
            </w:r>
          </w:p>
        </w:tc>
      </w:tr>
    </w:tbl>
    <w:p w:rsidR="00937C19" w:rsidRPr="00785370" w:rsidRDefault="00937C19" w:rsidP="008F5876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09BE" w:rsidRPr="00785370" w:rsidRDefault="009109BE" w:rsidP="008F5876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5370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9109BE" w:rsidRPr="00785370" w:rsidSect="00B15AC2">
      <w:pgSz w:w="16838" w:h="11906" w:orient="landscape" w:code="9"/>
      <w:pgMar w:top="1701" w:right="567" w:bottom="567" w:left="567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E2A" w:rsidRDefault="00131E2A">
      <w:pPr>
        <w:spacing w:after="0" w:line="240" w:lineRule="auto"/>
      </w:pPr>
      <w:r>
        <w:separator/>
      </w:r>
    </w:p>
  </w:endnote>
  <w:endnote w:type="continuationSeparator" w:id="0">
    <w:p w:rsidR="00131E2A" w:rsidRDefault="00131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Corbel"/>
    <w:charset w:val="4D"/>
    <w:family w:val="swiss"/>
    <w:pitch w:val="variable"/>
    <w:sig w:usb0="A00002EF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165AB9" w:rsidRDefault="00644D79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65AB9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165AB9" w:rsidRDefault="00165AB9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:rsidR="00165AB9" w:rsidRPr="000715A3" w:rsidRDefault="00644D79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="00165AB9"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FA726A">
          <w:rPr>
            <w:rStyle w:val="PageNumber"/>
            <w:rFonts w:ascii="Times New Roman" w:hAnsi="Times New Roman" w:cs="Times New Roman"/>
            <w:noProof/>
          </w:rPr>
          <w:t>1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:rsidR="00165AB9" w:rsidRDefault="00165AB9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E2A" w:rsidRDefault="00131E2A">
      <w:pPr>
        <w:spacing w:after="0" w:line="240" w:lineRule="auto"/>
      </w:pPr>
      <w:r>
        <w:separator/>
      </w:r>
    </w:p>
  </w:footnote>
  <w:footnote w:type="continuationSeparator" w:id="0">
    <w:p w:rsidR="00131E2A" w:rsidRDefault="00131E2A">
      <w:pPr>
        <w:spacing w:after="0" w:line="240" w:lineRule="auto"/>
      </w:pPr>
      <w:r>
        <w:continuationSeparator/>
      </w:r>
    </w:p>
  </w:footnote>
  <w:footnote w:id="1">
    <w:p w:rsidR="00937C19" w:rsidRPr="00D644AA" w:rsidRDefault="00937C1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:rsidR="00937C19" w:rsidRPr="00937C19" w:rsidRDefault="00937C19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AB9" w:rsidRPr="00445EF7" w:rsidRDefault="00165AB9" w:rsidP="00445E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6FBA"/>
    <w:multiLevelType w:val="hybridMultilevel"/>
    <w:tmpl w:val="010449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61EA"/>
    <w:multiLevelType w:val="hybridMultilevel"/>
    <w:tmpl w:val="0F9AD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79D"/>
    <w:multiLevelType w:val="hybridMultilevel"/>
    <w:tmpl w:val="B81E0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F2EEC"/>
    <w:multiLevelType w:val="hybridMultilevel"/>
    <w:tmpl w:val="8D125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D74850"/>
    <w:multiLevelType w:val="hybridMultilevel"/>
    <w:tmpl w:val="3326A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54D0C"/>
    <w:multiLevelType w:val="hybridMultilevel"/>
    <w:tmpl w:val="22D2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773AD"/>
    <w:multiLevelType w:val="hybridMultilevel"/>
    <w:tmpl w:val="23CA683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04896"/>
    <w:multiLevelType w:val="hybridMultilevel"/>
    <w:tmpl w:val="4732B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B2F84"/>
    <w:multiLevelType w:val="hybridMultilevel"/>
    <w:tmpl w:val="1770A0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D4904"/>
    <w:multiLevelType w:val="hybridMultilevel"/>
    <w:tmpl w:val="E0D289C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C6A792A"/>
    <w:multiLevelType w:val="hybridMultilevel"/>
    <w:tmpl w:val="33C0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5C459B"/>
    <w:multiLevelType w:val="hybridMultilevel"/>
    <w:tmpl w:val="D54C6B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D4555"/>
    <w:multiLevelType w:val="hybridMultilevel"/>
    <w:tmpl w:val="1BBAE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5553D"/>
    <w:multiLevelType w:val="hybridMultilevel"/>
    <w:tmpl w:val="693C9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235BC"/>
    <w:multiLevelType w:val="hybridMultilevel"/>
    <w:tmpl w:val="48705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B145A"/>
    <w:multiLevelType w:val="hybridMultilevel"/>
    <w:tmpl w:val="C41C12D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76066"/>
    <w:multiLevelType w:val="hybridMultilevel"/>
    <w:tmpl w:val="1164A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5"/>
  </w:num>
  <w:num w:numId="8">
    <w:abstractNumId w:val="20"/>
  </w:num>
  <w:num w:numId="9">
    <w:abstractNumId w:val="15"/>
  </w:num>
  <w:num w:numId="10">
    <w:abstractNumId w:val="7"/>
  </w:num>
  <w:num w:numId="11">
    <w:abstractNumId w:val="9"/>
  </w:num>
  <w:num w:numId="12">
    <w:abstractNumId w:val="14"/>
  </w:num>
  <w:num w:numId="13">
    <w:abstractNumId w:val="0"/>
  </w:num>
  <w:num w:numId="14">
    <w:abstractNumId w:val="3"/>
  </w:num>
  <w:num w:numId="15">
    <w:abstractNumId w:val="1"/>
  </w:num>
  <w:num w:numId="16">
    <w:abstractNumId w:val="6"/>
  </w:num>
  <w:num w:numId="17">
    <w:abstractNumId w:val="17"/>
  </w:num>
  <w:num w:numId="18">
    <w:abstractNumId w:val="8"/>
  </w:num>
  <w:num w:numId="19">
    <w:abstractNumId w:val="1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39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529E7"/>
    <w:rsid w:val="0006381F"/>
    <w:rsid w:val="00064528"/>
    <w:rsid w:val="000715A3"/>
    <w:rsid w:val="000767F7"/>
    <w:rsid w:val="000C3E97"/>
    <w:rsid w:val="000D24C6"/>
    <w:rsid w:val="000E2722"/>
    <w:rsid w:val="00117FE8"/>
    <w:rsid w:val="00125A3C"/>
    <w:rsid w:val="00131E2A"/>
    <w:rsid w:val="0014184E"/>
    <w:rsid w:val="001609DC"/>
    <w:rsid w:val="00165AB9"/>
    <w:rsid w:val="001754C8"/>
    <w:rsid w:val="00184E29"/>
    <w:rsid w:val="0019280E"/>
    <w:rsid w:val="001A2C0F"/>
    <w:rsid w:val="001D0540"/>
    <w:rsid w:val="001F1BFD"/>
    <w:rsid w:val="001F7496"/>
    <w:rsid w:val="002032F5"/>
    <w:rsid w:val="002270F7"/>
    <w:rsid w:val="002360E9"/>
    <w:rsid w:val="002520CF"/>
    <w:rsid w:val="00252BA8"/>
    <w:rsid w:val="002A50CC"/>
    <w:rsid w:val="002D3951"/>
    <w:rsid w:val="00302140"/>
    <w:rsid w:val="00314362"/>
    <w:rsid w:val="00374DA9"/>
    <w:rsid w:val="00377797"/>
    <w:rsid w:val="003A2462"/>
    <w:rsid w:val="003D0448"/>
    <w:rsid w:val="004017FA"/>
    <w:rsid w:val="00403C99"/>
    <w:rsid w:val="0042178F"/>
    <w:rsid w:val="00432EF4"/>
    <w:rsid w:val="0043401A"/>
    <w:rsid w:val="00445EF7"/>
    <w:rsid w:val="00526D12"/>
    <w:rsid w:val="00564ABE"/>
    <w:rsid w:val="005855D9"/>
    <w:rsid w:val="005B76AD"/>
    <w:rsid w:val="0060678C"/>
    <w:rsid w:val="0064202F"/>
    <w:rsid w:val="00644D79"/>
    <w:rsid w:val="00651151"/>
    <w:rsid w:val="00654996"/>
    <w:rsid w:val="0067339D"/>
    <w:rsid w:val="006800BB"/>
    <w:rsid w:val="00681BBD"/>
    <w:rsid w:val="00715A14"/>
    <w:rsid w:val="00746798"/>
    <w:rsid w:val="00754011"/>
    <w:rsid w:val="007730D6"/>
    <w:rsid w:val="0077730C"/>
    <w:rsid w:val="00785370"/>
    <w:rsid w:val="007C7CD2"/>
    <w:rsid w:val="007D0088"/>
    <w:rsid w:val="00800E61"/>
    <w:rsid w:val="0082036B"/>
    <w:rsid w:val="00821759"/>
    <w:rsid w:val="00825B04"/>
    <w:rsid w:val="00842DC7"/>
    <w:rsid w:val="008527C2"/>
    <w:rsid w:val="00852882"/>
    <w:rsid w:val="00871B87"/>
    <w:rsid w:val="008B5A8A"/>
    <w:rsid w:val="008B75DD"/>
    <w:rsid w:val="008C25CC"/>
    <w:rsid w:val="008F5876"/>
    <w:rsid w:val="00900FB4"/>
    <w:rsid w:val="009109BE"/>
    <w:rsid w:val="00937C19"/>
    <w:rsid w:val="00944BAE"/>
    <w:rsid w:val="009569D9"/>
    <w:rsid w:val="00982004"/>
    <w:rsid w:val="009836CD"/>
    <w:rsid w:val="0099242F"/>
    <w:rsid w:val="009A157F"/>
    <w:rsid w:val="009C1629"/>
    <w:rsid w:val="00A110F3"/>
    <w:rsid w:val="00A57B7D"/>
    <w:rsid w:val="00AD1862"/>
    <w:rsid w:val="00AD641A"/>
    <w:rsid w:val="00AE79C7"/>
    <w:rsid w:val="00AF76FD"/>
    <w:rsid w:val="00B12B34"/>
    <w:rsid w:val="00B139DA"/>
    <w:rsid w:val="00B15AC2"/>
    <w:rsid w:val="00B1639C"/>
    <w:rsid w:val="00B45330"/>
    <w:rsid w:val="00B6592E"/>
    <w:rsid w:val="00B80E4C"/>
    <w:rsid w:val="00B84C0F"/>
    <w:rsid w:val="00BC016D"/>
    <w:rsid w:val="00BF3CB1"/>
    <w:rsid w:val="00C076C2"/>
    <w:rsid w:val="00C71083"/>
    <w:rsid w:val="00C801CF"/>
    <w:rsid w:val="00C929A5"/>
    <w:rsid w:val="00CD6EEA"/>
    <w:rsid w:val="00CE0881"/>
    <w:rsid w:val="00D071FE"/>
    <w:rsid w:val="00D46745"/>
    <w:rsid w:val="00D54BD1"/>
    <w:rsid w:val="00D62B81"/>
    <w:rsid w:val="00D644AA"/>
    <w:rsid w:val="00D7668D"/>
    <w:rsid w:val="00DB20C3"/>
    <w:rsid w:val="00DC135B"/>
    <w:rsid w:val="00E15460"/>
    <w:rsid w:val="00E1724C"/>
    <w:rsid w:val="00E73BCA"/>
    <w:rsid w:val="00E73FFA"/>
    <w:rsid w:val="00E83AB1"/>
    <w:rsid w:val="00E86059"/>
    <w:rsid w:val="00EC2385"/>
    <w:rsid w:val="00EC2D50"/>
    <w:rsid w:val="00ED67C1"/>
    <w:rsid w:val="00EE5C9D"/>
    <w:rsid w:val="00F01882"/>
    <w:rsid w:val="00F23E6A"/>
    <w:rsid w:val="00F45A2F"/>
    <w:rsid w:val="00F525CF"/>
    <w:rsid w:val="00F82923"/>
    <w:rsid w:val="00F84371"/>
    <w:rsid w:val="00FA726A"/>
    <w:rsid w:val="00FB249D"/>
    <w:rsid w:val="00FB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ECB5747-EC96-4270-96CB-52019B24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Default">
    <w:name w:val="Default"/>
    <w:rsid w:val="00D071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6AF9-C650-4018-908D-BB243E62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11234</Words>
  <Characters>6404</Characters>
  <Application>Microsoft Office Word</Application>
  <DocSecurity>0</DocSecurity>
  <Lines>53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KPMPC1</dc:creator>
  <cp:lastModifiedBy>Virginija Musteikienė</cp:lastModifiedBy>
  <cp:revision>9</cp:revision>
  <cp:lastPrinted>2019-01-07T14:55:00Z</cp:lastPrinted>
  <dcterms:created xsi:type="dcterms:W3CDTF">2023-01-23T13:38:00Z</dcterms:created>
  <dcterms:modified xsi:type="dcterms:W3CDTF">2023-02-02T09:16:00Z</dcterms:modified>
</cp:coreProperties>
</file>