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246C1B" w:rsidRDefault="00215B76" w:rsidP="00215B76">
      <w:pPr>
        <w:jc w:val="center"/>
        <w:rPr>
          <w:b/>
          <w:sz w:val="28"/>
        </w:rPr>
      </w:pPr>
      <w:r w:rsidRPr="00246C1B">
        <w:rPr>
          <w:b/>
          <w:sz w:val="28"/>
        </w:rPr>
        <w:t>Žemės ūkio gamybos verslo darbuotojo modulinė profesinio mokymo programa, valstybinis kodas T43081103</w:t>
      </w:r>
    </w:p>
    <w:p w:rsidR="00215B76" w:rsidRPr="00246C1B" w:rsidRDefault="00215B76" w:rsidP="00215B76"/>
    <w:p w:rsidR="00246C1B" w:rsidRPr="00246C1B" w:rsidRDefault="00246C1B" w:rsidP="00246C1B">
      <w:pPr>
        <w:widowControl w:val="0"/>
        <w:rPr>
          <w:b/>
          <w:bCs/>
        </w:rPr>
      </w:pPr>
      <w:r w:rsidRPr="00246C1B">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7084"/>
        <w:gridCol w:w="4928"/>
      </w:tblGrid>
      <w:tr w:rsidR="00246C1B" w:rsidRPr="00246C1B" w:rsidTr="003A1CAB">
        <w:trPr>
          <w:trHeight w:val="57"/>
          <w:jc w:val="center"/>
        </w:trPr>
        <w:tc>
          <w:tcPr>
            <w:tcW w:w="1173" w:type="pct"/>
            <w:shd w:val="clear" w:color="auto" w:fill="F2F2F2"/>
          </w:tcPr>
          <w:p w:rsidR="00246C1B" w:rsidRPr="00246C1B" w:rsidRDefault="00246C1B" w:rsidP="00CA06F8">
            <w:pPr>
              <w:widowControl w:val="0"/>
            </w:pPr>
            <w:r w:rsidRPr="00246C1B">
              <w:t>Valstybinis kodas</w:t>
            </w:r>
          </w:p>
        </w:tc>
        <w:tc>
          <w:tcPr>
            <w:tcW w:w="3827" w:type="pct"/>
            <w:gridSpan w:val="2"/>
          </w:tcPr>
          <w:p w:rsidR="00246C1B" w:rsidRPr="00246C1B" w:rsidRDefault="00246C1B" w:rsidP="00CA06F8">
            <w:pPr>
              <w:widowControl w:val="0"/>
            </w:pPr>
            <w:r w:rsidRPr="00246C1B">
              <w:t>3081117</w:t>
            </w:r>
          </w:p>
        </w:tc>
      </w:tr>
      <w:tr w:rsidR="00246C1B" w:rsidRPr="00246C1B" w:rsidTr="003A1CAB">
        <w:trPr>
          <w:trHeight w:val="57"/>
          <w:jc w:val="center"/>
        </w:trPr>
        <w:tc>
          <w:tcPr>
            <w:tcW w:w="1173" w:type="pct"/>
            <w:shd w:val="clear" w:color="auto" w:fill="F2F2F2"/>
          </w:tcPr>
          <w:p w:rsidR="00246C1B" w:rsidRPr="00246C1B" w:rsidRDefault="00246C1B" w:rsidP="00CA06F8">
            <w:pPr>
              <w:widowControl w:val="0"/>
            </w:pPr>
            <w:r w:rsidRPr="00246C1B">
              <w:t>Modulio LTKS lygis</w:t>
            </w:r>
          </w:p>
        </w:tc>
        <w:tc>
          <w:tcPr>
            <w:tcW w:w="3827" w:type="pct"/>
            <w:gridSpan w:val="2"/>
          </w:tcPr>
          <w:p w:rsidR="00246C1B" w:rsidRPr="00246C1B" w:rsidRDefault="00246C1B" w:rsidP="00CA06F8">
            <w:pPr>
              <w:widowControl w:val="0"/>
            </w:pPr>
            <w:r w:rsidRPr="00246C1B">
              <w:t>III</w:t>
            </w:r>
          </w:p>
        </w:tc>
      </w:tr>
      <w:tr w:rsidR="00246C1B" w:rsidRPr="00246C1B" w:rsidTr="003A1CAB">
        <w:trPr>
          <w:trHeight w:val="57"/>
          <w:jc w:val="center"/>
        </w:trPr>
        <w:tc>
          <w:tcPr>
            <w:tcW w:w="1173" w:type="pct"/>
            <w:shd w:val="clear" w:color="auto" w:fill="F2F2F2"/>
          </w:tcPr>
          <w:p w:rsidR="00246C1B" w:rsidRPr="00246C1B" w:rsidRDefault="00246C1B" w:rsidP="00CA06F8">
            <w:pPr>
              <w:widowControl w:val="0"/>
            </w:pPr>
            <w:r w:rsidRPr="00246C1B">
              <w:t>Apimtis mokymosi kreditais</w:t>
            </w:r>
          </w:p>
        </w:tc>
        <w:tc>
          <w:tcPr>
            <w:tcW w:w="3827" w:type="pct"/>
            <w:gridSpan w:val="2"/>
            <w:tcBorders>
              <w:bottom w:val="single" w:sz="4" w:space="0" w:color="auto"/>
            </w:tcBorders>
          </w:tcPr>
          <w:p w:rsidR="00246C1B" w:rsidRPr="00246C1B" w:rsidRDefault="00246C1B" w:rsidP="00CA06F8">
            <w:pPr>
              <w:widowControl w:val="0"/>
            </w:pPr>
            <w:r w:rsidRPr="00246C1B">
              <w:t xml:space="preserve">5 </w:t>
            </w:r>
          </w:p>
        </w:tc>
      </w:tr>
      <w:tr w:rsidR="003A1CAB" w:rsidRPr="00246C1B" w:rsidTr="003A1CAB">
        <w:trPr>
          <w:trHeight w:val="57"/>
          <w:jc w:val="center"/>
        </w:trPr>
        <w:tc>
          <w:tcPr>
            <w:tcW w:w="1173" w:type="pct"/>
            <w:shd w:val="clear" w:color="auto" w:fill="F2F2F2"/>
          </w:tcPr>
          <w:p w:rsidR="003A1CAB" w:rsidRPr="00246C1B" w:rsidRDefault="003A1CAB" w:rsidP="003A1CAB">
            <w:pPr>
              <w:widowControl w:val="0"/>
            </w:pPr>
            <w:r w:rsidRPr="00246C1B">
              <w:t>Asmens pasirengimo mokytis modulyje reikalavimai (jei taikoma)</w:t>
            </w:r>
          </w:p>
        </w:tc>
        <w:tc>
          <w:tcPr>
            <w:tcW w:w="3827" w:type="pct"/>
            <w:gridSpan w:val="2"/>
            <w:tcBorders>
              <w:bottom w:val="single" w:sz="4" w:space="0" w:color="auto"/>
            </w:tcBorders>
          </w:tcPr>
          <w:p w:rsidR="003A1CAB" w:rsidRPr="00F05E39" w:rsidRDefault="003A1CAB" w:rsidP="003A1CAB">
            <w:pPr>
              <w:widowControl w:val="0"/>
            </w:pPr>
            <w:r w:rsidRPr="00F05E39">
              <w:t>TR1 kategorijos traktorių vairuotojo pažymėjimas</w:t>
            </w:r>
          </w:p>
        </w:tc>
      </w:tr>
      <w:tr w:rsidR="00246C1B" w:rsidRPr="00246C1B" w:rsidTr="003A1CAB">
        <w:trPr>
          <w:trHeight w:val="57"/>
          <w:jc w:val="center"/>
        </w:trPr>
        <w:tc>
          <w:tcPr>
            <w:tcW w:w="1173" w:type="pct"/>
            <w:shd w:val="clear" w:color="auto" w:fill="F2F2F2"/>
          </w:tcPr>
          <w:p w:rsidR="00246C1B" w:rsidRPr="00246C1B" w:rsidRDefault="00246C1B" w:rsidP="00246C1B">
            <w:pPr>
              <w:widowControl w:val="0"/>
              <w:rPr>
                <w:bCs/>
                <w:iCs/>
              </w:rPr>
            </w:pPr>
            <w:r w:rsidRPr="00246C1B">
              <w:t>Kompetencijos</w:t>
            </w:r>
          </w:p>
        </w:tc>
        <w:tc>
          <w:tcPr>
            <w:tcW w:w="3827" w:type="pct"/>
            <w:gridSpan w:val="2"/>
            <w:shd w:val="clear" w:color="auto" w:fill="auto"/>
          </w:tcPr>
          <w:p w:rsidR="00246C1B" w:rsidRPr="00246C1B" w:rsidRDefault="00246C1B" w:rsidP="00246C1B">
            <w:pPr>
              <w:widowControl w:val="0"/>
              <w:rPr>
                <w:bCs/>
                <w:iCs/>
              </w:rPr>
            </w:pPr>
            <w:r w:rsidRPr="00246C1B">
              <w:rPr>
                <w:bCs/>
                <w:iCs/>
              </w:rPr>
              <w:t>Dirbti savaeigėmis dangų įrengimo ir remonto mašinomis.</w:t>
            </w:r>
          </w:p>
        </w:tc>
      </w:tr>
      <w:tr w:rsidR="00246C1B" w:rsidRPr="00246C1B" w:rsidTr="003A1CAB">
        <w:trPr>
          <w:trHeight w:val="57"/>
          <w:jc w:val="center"/>
        </w:trPr>
        <w:tc>
          <w:tcPr>
            <w:tcW w:w="1173" w:type="pct"/>
            <w:tcBorders>
              <w:bottom w:val="single" w:sz="4" w:space="0" w:color="auto"/>
            </w:tcBorders>
            <w:shd w:val="clear" w:color="auto" w:fill="F2F2F2"/>
          </w:tcPr>
          <w:p w:rsidR="00246C1B" w:rsidRPr="00246C1B" w:rsidRDefault="00246C1B" w:rsidP="00246C1B">
            <w:pPr>
              <w:widowControl w:val="0"/>
            </w:pPr>
            <w:r w:rsidRPr="00246C1B">
              <w:rPr>
                <w:bCs/>
                <w:iCs/>
              </w:rPr>
              <w:t>Mokymosi rezultatai</w:t>
            </w:r>
          </w:p>
        </w:tc>
        <w:tc>
          <w:tcPr>
            <w:tcW w:w="2257" w:type="pct"/>
            <w:tcBorders>
              <w:bottom w:val="single" w:sz="4" w:space="0" w:color="auto"/>
            </w:tcBorders>
            <w:shd w:val="clear" w:color="auto" w:fill="F2F2F2"/>
          </w:tcPr>
          <w:p w:rsidR="00246C1B" w:rsidRPr="00246C1B" w:rsidRDefault="00246C1B" w:rsidP="00246C1B">
            <w:pPr>
              <w:widowControl w:val="0"/>
              <w:rPr>
                <w:bCs/>
                <w:iCs/>
              </w:rPr>
            </w:pPr>
            <w:r w:rsidRPr="00246C1B">
              <w:rPr>
                <w:bCs/>
                <w:iCs/>
              </w:rPr>
              <w:t>Rekomenduojamas turinys mokymosi rezultatams pasiekti</w:t>
            </w:r>
          </w:p>
        </w:tc>
        <w:tc>
          <w:tcPr>
            <w:tcW w:w="1570" w:type="pct"/>
            <w:tcBorders>
              <w:bottom w:val="single" w:sz="4" w:space="0" w:color="auto"/>
            </w:tcBorders>
            <w:shd w:val="clear" w:color="auto" w:fill="F2F2F2"/>
          </w:tcPr>
          <w:p w:rsidR="00246C1B" w:rsidRPr="00246C1B" w:rsidRDefault="00246C1B" w:rsidP="00246C1B">
            <w:pPr>
              <w:widowControl w:val="0"/>
              <w:rPr>
                <w:bCs/>
                <w:iCs/>
              </w:rPr>
            </w:pPr>
            <w:r w:rsidRPr="00246C1B">
              <w:t>Mokymosi pasiekimų įvertinimo kriterijai</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rPr>
                <w:bCs/>
                <w:iCs/>
              </w:rPr>
            </w:pPr>
            <w:r w:rsidRPr="00246C1B">
              <w:t>1. Išmanyti apie žemės statinius, jų klasifikaciją, dangų konstrukcinius elementus</w:t>
            </w:r>
            <w:r w:rsidR="00454ADA">
              <w:rPr>
                <w:bCs/>
                <w:iCs/>
              </w:rPr>
              <w:t>.</w:t>
            </w:r>
          </w:p>
        </w:tc>
        <w:tc>
          <w:tcPr>
            <w:tcW w:w="2257" w:type="pct"/>
            <w:shd w:val="clear" w:color="auto" w:fill="auto"/>
          </w:tcPr>
          <w:p w:rsidR="00246C1B" w:rsidRPr="00246C1B" w:rsidRDefault="00246C1B" w:rsidP="00246C1B">
            <w:pPr>
              <w:widowControl w:val="0"/>
              <w:rPr>
                <w:rFonts w:eastAsia="Calibri"/>
              </w:rPr>
            </w:pPr>
            <w:r w:rsidRPr="00246C1B">
              <w:rPr>
                <w:b/>
                <w:bCs/>
              </w:rPr>
              <w:t xml:space="preserve">Tema. </w:t>
            </w:r>
            <w:r w:rsidRPr="00246C1B">
              <w:rPr>
                <w:rFonts w:eastAsia="Calibri"/>
              </w:rPr>
              <w:t>Keliai, gatvės ir aikštės. Kelių klasifikacija.</w:t>
            </w:r>
          </w:p>
          <w:p w:rsidR="00246C1B" w:rsidRPr="00246C1B" w:rsidRDefault="00246C1B" w:rsidP="00246C1B">
            <w:pPr>
              <w:widowControl w:val="0"/>
              <w:numPr>
                <w:ilvl w:val="0"/>
                <w:numId w:val="12"/>
              </w:numPr>
              <w:ind w:left="0" w:firstLine="0"/>
              <w:rPr>
                <w:rFonts w:eastAsia="Calibri"/>
                <w:b/>
              </w:rPr>
            </w:pPr>
            <w:r w:rsidRPr="00246C1B">
              <w:rPr>
                <w:rFonts w:eastAsia="Calibri"/>
              </w:rPr>
              <w:t>Apibūdinti kelių ir aikščių skirstymą</w:t>
            </w:r>
          </w:p>
          <w:p w:rsidR="00246C1B" w:rsidRPr="00246C1B" w:rsidRDefault="00246C1B" w:rsidP="00246C1B">
            <w:pPr>
              <w:widowControl w:val="0"/>
              <w:rPr>
                <w:rFonts w:eastAsia="Calibri"/>
              </w:rPr>
            </w:pPr>
            <w:r w:rsidRPr="00246C1B">
              <w:rPr>
                <w:rFonts w:eastAsia="Calibri"/>
                <w:b/>
              </w:rPr>
              <w:t>Tema.</w:t>
            </w:r>
            <w:r w:rsidRPr="00246C1B">
              <w:rPr>
                <w:rFonts w:eastAsia="Calibri"/>
              </w:rPr>
              <w:t xml:space="preserve"> Kelių ir gatvių konstrukciniai elementai</w:t>
            </w:r>
          </w:p>
          <w:p w:rsidR="00246C1B" w:rsidRPr="00246C1B" w:rsidRDefault="00246C1B" w:rsidP="00246C1B">
            <w:pPr>
              <w:widowControl w:val="0"/>
              <w:numPr>
                <w:ilvl w:val="0"/>
                <w:numId w:val="12"/>
              </w:numPr>
              <w:ind w:left="0" w:firstLine="0"/>
              <w:rPr>
                <w:bCs/>
                <w:iCs/>
              </w:rPr>
            </w:pPr>
            <w:r w:rsidRPr="00246C1B">
              <w:t>Įvardinti žemės statinių dangų konstrukcinius elementus</w:t>
            </w:r>
          </w:p>
        </w:tc>
        <w:tc>
          <w:tcPr>
            <w:tcW w:w="1570" w:type="pct"/>
            <w:shd w:val="clear" w:color="auto" w:fill="auto"/>
          </w:tcPr>
          <w:p w:rsidR="00246C1B" w:rsidRPr="00246C1B" w:rsidRDefault="00246C1B" w:rsidP="00246C1B">
            <w:pPr>
              <w:widowControl w:val="0"/>
              <w:rPr>
                <w:bCs/>
                <w:iCs/>
              </w:rPr>
            </w:pPr>
            <w:r w:rsidRPr="00246C1B">
              <w:t>Išvardintos kelių, aikščių ir iškasų dangos, jų rūšys. Nurodyti duoto statinio dangos konstrukcijos elementai.</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2. Nurodyti dangų įrengimui ir remontui keliamus reikalavimus</w:t>
            </w:r>
            <w:r w:rsidR="00454ADA">
              <w:t>.</w:t>
            </w:r>
          </w:p>
        </w:tc>
        <w:tc>
          <w:tcPr>
            <w:tcW w:w="2257" w:type="pct"/>
            <w:shd w:val="clear" w:color="auto" w:fill="auto"/>
          </w:tcPr>
          <w:p w:rsidR="00246C1B" w:rsidRPr="00246C1B" w:rsidRDefault="00246C1B" w:rsidP="00246C1B">
            <w:pPr>
              <w:widowControl w:val="0"/>
              <w:rPr>
                <w:rFonts w:eastAsia="Calibri"/>
                <w:b/>
              </w:rPr>
            </w:pPr>
            <w:r w:rsidRPr="00246C1B">
              <w:rPr>
                <w:b/>
              </w:rPr>
              <w:t xml:space="preserve">Tema. </w:t>
            </w:r>
            <w:r w:rsidRPr="00246C1B">
              <w:rPr>
                <w:rFonts w:eastAsia="Calibri"/>
              </w:rPr>
              <w:t>Kelio dangų klasifikacija</w:t>
            </w:r>
          </w:p>
          <w:p w:rsidR="00246C1B" w:rsidRPr="00246C1B" w:rsidRDefault="00246C1B" w:rsidP="00246C1B">
            <w:pPr>
              <w:widowControl w:val="0"/>
              <w:numPr>
                <w:ilvl w:val="0"/>
                <w:numId w:val="12"/>
              </w:numPr>
              <w:ind w:left="0" w:firstLine="0"/>
              <w:rPr>
                <w:rFonts w:eastAsia="Calibri"/>
              </w:rPr>
            </w:pPr>
            <w:r w:rsidRPr="00246C1B">
              <w:rPr>
                <w:rFonts w:eastAsia="Calibri"/>
              </w:rPr>
              <w:t>Nurodyti kelio dangų klasifikaciją</w:t>
            </w:r>
          </w:p>
          <w:p w:rsidR="00246C1B" w:rsidRPr="00246C1B" w:rsidRDefault="00246C1B" w:rsidP="00246C1B">
            <w:pPr>
              <w:widowControl w:val="0"/>
              <w:rPr>
                <w:rFonts w:eastAsia="Calibri"/>
              </w:rPr>
            </w:pPr>
            <w:r w:rsidRPr="00246C1B">
              <w:rPr>
                <w:rFonts w:eastAsia="Calibri"/>
                <w:b/>
              </w:rPr>
              <w:t>Tema.</w:t>
            </w:r>
            <w:r w:rsidRPr="00246C1B">
              <w:rPr>
                <w:rFonts w:eastAsia="Calibri"/>
              </w:rPr>
              <w:t xml:space="preserve"> Dangų konstrukcijos, reikalavimai dangų įrengimui</w:t>
            </w:r>
          </w:p>
          <w:p w:rsidR="00246C1B" w:rsidRPr="00246C1B" w:rsidRDefault="00246C1B" w:rsidP="00246C1B">
            <w:pPr>
              <w:widowControl w:val="0"/>
              <w:numPr>
                <w:ilvl w:val="0"/>
                <w:numId w:val="12"/>
              </w:numPr>
              <w:ind w:left="0" w:firstLine="0"/>
              <w:rPr>
                <w:b/>
                <w:i/>
              </w:rPr>
            </w:pPr>
            <w:r w:rsidRPr="00246C1B">
              <w:t>Paaiškinti dangų konstrukcijas ir jų įrengimo reikalavimus</w:t>
            </w:r>
          </w:p>
        </w:tc>
        <w:tc>
          <w:tcPr>
            <w:tcW w:w="1570" w:type="pct"/>
            <w:shd w:val="clear" w:color="auto" w:fill="auto"/>
          </w:tcPr>
          <w:p w:rsidR="00246C1B" w:rsidRPr="00246C1B" w:rsidRDefault="00246C1B" w:rsidP="00246C1B">
            <w:pPr>
              <w:widowControl w:val="0"/>
              <w:rPr>
                <w:bCs/>
                <w:iCs/>
              </w:rPr>
            </w:pPr>
            <w:r w:rsidRPr="00246C1B">
              <w:t>Apibūdintos kelių ir aikščių dangų rūšys, kokybės reikalavimai. Įvertinta dangų kokybė.</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3. Apibūdinti gruntus, asfaltbetonio ir betono mišinius ir kitas medžiagas, naudojamas dangoms įrengti ir remontuoti, jų klasifikaciją, savybes.</w:t>
            </w:r>
          </w:p>
        </w:tc>
        <w:tc>
          <w:tcPr>
            <w:tcW w:w="2257" w:type="pct"/>
            <w:shd w:val="clear" w:color="auto" w:fill="auto"/>
          </w:tcPr>
          <w:p w:rsidR="00246C1B" w:rsidRPr="00246C1B" w:rsidRDefault="00246C1B" w:rsidP="00246C1B">
            <w:pPr>
              <w:widowControl w:val="0"/>
              <w:rPr>
                <w:rFonts w:eastAsia="Calibri"/>
              </w:rPr>
            </w:pPr>
            <w:r w:rsidRPr="00246C1B">
              <w:rPr>
                <w:b/>
              </w:rPr>
              <w:t xml:space="preserve">Tema. </w:t>
            </w:r>
            <w:r w:rsidRPr="00246C1B">
              <w:rPr>
                <w:rFonts w:eastAsia="Calibri"/>
              </w:rPr>
              <w:t>Dangų įrengimo ir remonto medžiagos</w:t>
            </w:r>
          </w:p>
          <w:p w:rsidR="00246C1B" w:rsidRPr="00246C1B" w:rsidRDefault="00246C1B" w:rsidP="00246C1B">
            <w:pPr>
              <w:widowControl w:val="0"/>
              <w:numPr>
                <w:ilvl w:val="0"/>
                <w:numId w:val="12"/>
              </w:numPr>
              <w:ind w:left="0" w:firstLine="0"/>
              <w:rPr>
                <w:rFonts w:eastAsia="Calibri"/>
              </w:rPr>
            </w:pPr>
            <w:r w:rsidRPr="00246C1B">
              <w:rPr>
                <w:rFonts w:eastAsia="Calibri"/>
              </w:rPr>
              <w:t>Paaiškinti gruntų, betono ir asfaltbetonių klasifikaciją</w:t>
            </w:r>
          </w:p>
          <w:p w:rsidR="00246C1B" w:rsidRPr="00246C1B" w:rsidRDefault="00246C1B" w:rsidP="00246C1B">
            <w:pPr>
              <w:widowControl w:val="0"/>
              <w:numPr>
                <w:ilvl w:val="0"/>
                <w:numId w:val="12"/>
              </w:numPr>
              <w:ind w:left="0" w:firstLine="0"/>
              <w:rPr>
                <w:b/>
              </w:rPr>
            </w:pPr>
            <w:r w:rsidRPr="00246C1B">
              <w:t>Atpažinti mišinius, jų savybes</w:t>
            </w:r>
          </w:p>
        </w:tc>
        <w:tc>
          <w:tcPr>
            <w:tcW w:w="1570" w:type="pct"/>
            <w:shd w:val="clear" w:color="auto" w:fill="auto"/>
          </w:tcPr>
          <w:p w:rsidR="00246C1B" w:rsidRPr="00246C1B" w:rsidRDefault="00246C1B" w:rsidP="00246C1B">
            <w:pPr>
              <w:widowControl w:val="0"/>
              <w:rPr>
                <w:bCs/>
                <w:iCs/>
              </w:rPr>
            </w:pPr>
            <w:r w:rsidRPr="00246C1B">
              <w:t>Apibūdintos medžiagos, naudojamos dangoms įrengti ar remontuoti, savybės. Atpažinti konkretūs mišiniai ir nurodomos jų savybės.</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4. Išmanyti apie dangų įrengimo ir remonto mašinų konstrukcijos ypatumus, jų paskirtį ir priežiūrą.</w:t>
            </w:r>
          </w:p>
        </w:tc>
        <w:tc>
          <w:tcPr>
            <w:tcW w:w="2257" w:type="pct"/>
            <w:shd w:val="clear" w:color="auto" w:fill="auto"/>
          </w:tcPr>
          <w:p w:rsidR="00246C1B" w:rsidRPr="00246C1B" w:rsidRDefault="00246C1B" w:rsidP="00246C1B">
            <w:pPr>
              <w:widowControl w:val="0"/>
              <w:rPr>
                <w:rFonts w:eastAsia="Calibri"/>
              </w:rPr>
            </w:pPr>
            <w:r w:rsidRPr="00246C1B">
              <w:rPr>
                <w:b/>
              </w:rPr>
              <w:t xml:space="preserve">Tema. </w:t>
            </w:r>
            <w:r w:rsidRPr="00246C1B">
              <w:rPr>
                <w:rFonts w:eastAsia="Calibri"/>
              </w:rPr>
              <w:t>Mašinų ir agregatų ir prietaisų veikimo ypatumai</w:t>
            </w:r>
          </w:p>
          <w:p w:rsidR="00246C1B" w:rsidRPr="00246C1B" w:rsidRDefault="00246C1B" w:rsidP="00246C1B">
            <w:pPr>
              <w:widowControl w:val="0"/>
              <w:numPr>
                <w:ilvl w:val="0"/>
                <w:numId w:val="13"/>
              </w:numPr>
              <w:ind w:left="0" w:firstLine="0"/>
              <w:rPr>
                <w:rFonts w:eastAsia="Calibri"/>
              </w:rPr>
            </w:pPr>
            <w:r w:rsidRPr="00246C1B">
              <w:rPr>
                <w:rFonts w:eastAsia="Calibri"/>
              </w:rPr>
              <w:t>Nustatyti mašinų agregatų ir prietaisų paskirtį</w:t>
            </w:r>
          </w:p>
          <w:p w:rsidR="00246C1B" w:rsidRPr="00246C1B" w:rsidRDefault="00246C1B" w:rsidP="00246C1B">
            <w:pPr>
              <w:widowControl w:val="0"/>
              <w:numPr>
                <w:ilvl w:val="0"/>
                <w:numId w:val="13"/>
              </w:numPr>
              <w:ind w:left="0" w:firstLine="0"/>
              <w:rPr>
                <w:rFonts w:eastAsia="Calibri"/>
              </w:rPr>
            </w:pPr>
            <w:r w:rsidRPr="00246C1B">
              <w:rPr>
                <w:rFonts w:eastAsia="Calibri"/>
              </w:rPr>
              <w:t>Apibūdinti mašinų agregatų ir prietaisų veikimo ypatumus</w:t>
            </w:r>
          </w:p>
          <w:p w:rsidR="00246C1B" w:rsidRPr="00246C1B" w:rsidRDefault="00246C1B" w:rsidP="00246C1B">
            <w:pPr>
              <w:widowControl w:val="0"/>
              <w:rPr>
                <w:rFonts w:eastAsia="Calibri"/>
              </w:rPr>
            </w:pPr>
            <w:r w:rsidRPr="00246C1B">
              <w:rPr>
                <w:rFonts w:eastAsia="Calibri"/>
                <w:b/>
              </w:rPr>
              <w:t xml:space="preserve">Tema. </w:t>
            </w:r>
            <w:r w:rsidRPr="00246C1B">
              <w:rPr>
                <w:rFonts w:eastAsia="Calibri"/>
              </w:rPr>
              <w:t>Eksploatacinės medžiagos</w:t>
            </w:r>
          </w:p>
          <w:p w:rsidR="00246C1B" w:rsidRPr="00246C1B" w:rsidRDefault="00246C1B" w:rsidP="00246C1B">
            <w:pPr>
              <w:widowControl w:val="0"/>
              <w:numPr>
                <w:ilvl w:val="0"/>
                <w:numId w:val="14"/>
              </w:numPr>
              <w:ind w:left="0" w:firstLine="0"/>
              <w:rPr>
                <w:b/>
              </w:rPr>
            </w:pPr>
            <w:r w:rsidRPr="00246C1B">
              <w:t>Parinkti eksploatacines medžiagas, jas pakeisti arba papildyti</w:t>
            </w:r>
          </w:p>
        </w:tc>
        <w:tc>
          <w:tcPr>
            <w:tcW w:w="1570" w:type="pct"/>
            <w:shd w:val="clear" w:color="auto" w:fill="auto"/>
          </w:tcPr>
          <w:p w:rsidR="00246C1B" w:rsidRPr="00246C1B" w:rsidRDefault="00246C1B" w:rsidP="00246C1B">
            <w:pPr>
              <w:widowControl w:val="0"/>
              <w:rPr>
                <w:bCs/>
                <w:iCs/>
              </w:rPr>
            </w:pPr>
            <w:r w:rsidRPr="00246C1B">
              <w:t>Apibūdinta duoto agregato ar sistemos paskirtis, ryšiai su kitais agregatais bei mazgais. Paaiškinti agregato arba mašinos veikimo principai. Laiku ir tinkamai parinkti degalai, aušinimo skysčiai, tepalai ir alyvos.</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5. Pasirinkti darbui tinkamos konstrukcijos ir našumo mašinas.</w:t>
            </w:r>
          </w:p>
        </w:tc>
        <w:tc>
          <w:tcPr>
            <w:tcW w:w="2257" w:type="pct"/>
            <w:shd w:val="clear" w:color="auto" w:fill="auto"/>
          </w:tcPr>
          <w:p w:rsidR="00246C1B" w:rsidRPr="00246C1B" w:rsidRDefault="00246C1B" w:rsidP="00246C1B">
            <w:pPr>
              <w:widowControl w:val="0"/>
              <w:rPr>
                <w:rFonts w:eastAsia="Calibri"/>
              </w:rPr>
            </w:pPr>
            <w:r w:rsidRPr="00246C1B">
              <w:rPr>
                <w:rFonts w:eastAsia="Calibri"/>
                <w:b/>
              </w:rPr>
              <w:t xml:space="preserve">Tema. </w:t>
            </w:r>
            <w:r w:rsidRPr="00246C1B">
              <w:rPr>
                <w:rFonts w:eastAsia="Calibri"/>
              </w:rPr>
              <w:t>Dangų įrengimo mašinų ypatumai, jų paskirtis</w:t>
            </w:r>
          </w:p>
          <w:p w:rsidR="00246C1B" w:rsidRPr="00246C1B" w:rsidRDefault="00246C1B" w:rsidP="00246C1B">
            <w:pPr>
              <w:widowControl w:val="0"/>
              <w:numPr>
                <w:ilvl w:val="0"/>
                <w:numId w:val="14"/>
              </w:numPr>
              <w:ind w:left="0" w:firstLine="0"/>
              <w:rPr>
                <w:b/>
              </w:rPr>
            </w:pPr>
            <w:r w:rsidRPr="00246C1B">
              <w:t>Įvardinti ir paaiškinti dangoms įrengti ir remontuoti naudojamų mašinų, jų įrangos ypatumus</w:t>
            </w:r>
          </w:p>
        </w:tc>
        <w:tc>
          <w:tcPr>
            <w:tcW w:w="1570" w:type="pct"/>
            <w:shd w:val="clear" w:color="auto" w:fill="auto"/>
          </w:tcPr>
          <w:p w:rsidR="00246C1B" w:rsidRPr="00246C1B" w:rsidRDefault="00246C1B" w:rsidP="00246C1B">
            <w:pPr>
              <w:widowControl w:val="0"/>
              <w:rPr>
                <w:bCs/>
                <w:iCs/>
              </w:rPr>
            </w:pPr>
            <w:r w:rsidRPr="00246C1B">
              <w:t>Apibūdinta mašinų paskirtis ir ypatumai. Pagal užduotį optimaliai parinktos mašinos.</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6. Nustatyti gedimus ir žino valstybinių techninių apžiūrų reikalavimus.</w:t>
            </w:r>
          </w:p>
        </w:tc>
        <w:tc>
          <w:tcPr>
            <w:tcW w:w="2257" w:type="pct"/>
            <w:shd w:val="clear" w:color="auto" w:fill="auto"/>
          </w:tcPr>
          <w:p w:rsidR="00246C1B" w:rsidRPr="00246C1B" w:rsidRDefault="00246C1B" w:rsidP="00246C1B">
            <w:pPr>
              <w:widowControl w:val="0"/>
              <w:rPr>
                <w:rFonts w:eastAsia="Calibri"/>
                <w:b/>
              </w:rPr>
            </w:pPr>
            <w:r w:rsidRPr="00246C1B">
              <w:rPr>
                <w:rFonts w:eastAsia="Calibri"/>
                <w:b/>
              </w:rPr>
              <w:t xml:space="preserve">Tema. </w:t>
            </w:r>
            <w:r w:rsidRPr="00246C1B">
              <w:rPr>
                <w:rFonts w:eastAsia="Calibri"/>
              </w:rPr>
              <w:t>Mašinų techninė būklė</w:t>
            </w:r>
          </w:p>
          <w:p w:rsidR="00246C1B" w:rsidRPr="00246C1B" w:rsidRDefault="00246C1B" w:rsidP="00246C1B">
            <w:pPr>
              <w:widowControl w:val="0"/>
              <w:numPr>
                <w:ilvl w:val="0"/>
                <w:numId w:val="14"/>
              </w:numPr>
              <w:ind w:left="0" w:firstLine="0"/>
              <w:rPr>
                <w:rFonts w:eastAsia="Calibri"/>
              </w:rPr>
            </w:pPr>
            <w:r w:rsidRPr="00246C1B">
              <w:rPr>
                <w:rFonts w:eastAsia="Calibri"/>
              </w:rPr>
              <w:t>Įvertinti mašinų techninę būklę</w:t>
            </w:r>
          </w:p>
          <w:p w:rsidR="00246C1B" w:rsidRPr="00246C1B" w:rsidRDefault="00246C1B" w:rsidP="00246C1B">
            <w:pPr>
              <w:widowControl w:val="0"/>
              <w:numPr>
                <w:ilvl w:val="0"/>
                <w:numId w:val="14"/>
              </w:numPr>
              <w:ind w:left="0" w:firstLine="0"/>
              <w:rPr>
                <w:rFonts w:eastAsia="Calibri"/>
                <w:b/>
              </w:rPr>
            </w:pPr>
            <w:r w:rsidRPr="00246C1B">
              <w:t>Atlikti nesudėtingus gedimus</w:t>
            </w:r>
          </w:p>
        </w:tc>
        <w:tc>
          <w:tcPr>
            <w:tcW w:w="1570" w:type="pct"/>
            <w:shd w:val="clear" w:color="auto" w:fill="auto"/>
          </w:tcPr>
          <w:p w:rsidR="00246C1B" w:rsidRPr="00246C1B" w:rsidRDefault="00246C1B" w:rsidP="00246C1B">
            <w:pPr>
              <w:widowControl w:val="0"/>
              <w:rPr>
                <w:bCs/>
                <w:iCs/>
              </w:rPr>
            </w:pPr>
            <w:r w:rsidRPr="00246C1B">
              <w:t xml:space="preserve">Pagal informacinių sistemų duomenis nustatyti gedimai. Paaiškintos nesudėtingų gedimų taisymo technologijos. Apibūdinti darbai </w:t>
            </w:r>
            <w:r w:rsidRPr="00246C1B">
              <w:lastRenderedPageBreak/>
              <w:t>rengiant mašiną techninei apžiūrai.</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lastRenderedPageBreak/>
              <w:t>7. Saugiai važiuoti keliais, teisingai įvertinti atsiradusias kliūtis.</w:t>
            </w:r>
          </w:p>
        </w:tc>
        <w:tc>
          <w:tcPr>
            <w:tcW w:w="2257" w:type="pct"/>
            <w:shd w:val="clear" w:color="auto" w:fill="auto"/>
          </w:tcPr>
          <w:p w:rsidR="00246C1B" w:rsidRPr="00246C1B" w:rsidRDefault="00246C1B" w:rsidP="00246C1B">
            <w:pPr>
              <w:widowControl w:val="0"/>
              <w:rPr>
                <w:rFonts w:eastAsia="Calibri"/>
              </w:rPr>
            </w:pPr>
            <w:r w:rsidRPr="00246C1B">
              <w:rPr>
                <w:rFonts w:eastAsia="Calibri"/>
                <w:b/>
              </w:rPr>
              <w:t xml:space="preserve">Tema. </w:t>
            </w:r>
            <w:r w:rsidRPr="00246C1B">
              <w:rPr>
                <w:rFonts w:eastAsia="Calibri"/>
              </w:rPr>
              <w:t>Kelių eismo taisyklės ir saugus eismas.</w:t>
            </w:r>
          </w:p>
          <w:p w:rsidR="00246C1B" w:rsidRPr="00246C1B" w:rsidRDefault="00246C1B" w:rsidP="00246C1B">
            <w:pPr>
              <w:widowControl w:val="0"/>
              <w:numPr>
                <w:ilvl w:val="0"/>
                <w:numId w:val="15"/>
              </w:numPr>
              <w:ind w:left="0" w:firstLine="0"/>
              <w:rPr>
                <w:rFonts w:eastAsia="Calibri"/>
                <w:b/>
              </w:rPr>
            </w:pPr>
            <w:r w:rsidRPr="00246C1B">
              <w:t>Pademonstruoti saugų važiavimą</w:t>
            </w:r>
          </w:p>
        </w:tc>
        <w:tc>
          <w:tcPr>
            <w:tcW w:w="1570" w:type="pct"/>
            <w:shd w:val="clear" w:color="auto" w:fill="auto"/>
          </w:tcPr>
          <w:p w:rsidR="00246C1B" w:rsidRPr="00246C1B" w:rsidRDefault="00246C1B" w:rsidP="00246C1B">
            <w:pPr>
              <w:widowControl w:val="0"/>
            </w:pPr>
            <w:r w:rsidRPr="00246C1B">
              <w:t>Teisingai atlikti kelių eismo taisyklių ir saugaus eismo testai. Paaiškinti pagrindiniai kelių eismo ženklai ir eismo reguliavimo ženklai. Teisingai atliktas praktinio vairavimo testas</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8. Saugiai dirbti, taikyti aplinkosaugos reikalavimus</w:t>
            </w:r>
            <w:r w:rsidR="00454ADA">
              <w:t>.</w:t>
            </w:r>
          </w:p>
        </w:tc>
        <w:tc>
          <w:tcPr>
            <w:tcW w:w="2257" w:type="pct"/>
          </w:tcPr>
          <w:p w:rsidR="00246C1B" w:rsidRPr="00246C1B" w:rsidRDefault="00246C1B" w:rsidP="00246C1B">
            <w:pPr>
              <w:widowControl w:val="0"/>
              <w:rPr>
                <w:rFonts w:eastAsia="Calibri"/>
                <w:b/>
              </w:rPr>
            </w:pPr>
            <w:r w:rsidRPr="00246C1B">
              <w:rPr>
                <w:rFonts w:eastAsia="Calibri"/>
                <w:b/>
              </w:rPr>
              <w:t xml:space="preserve">Tema. </w:t>
            </w:r>
            <w:r w:rsidRPr="00246C1B">
              <w:rPr>
                <w:rFonts w:eastAsia="Calibri"/>
              </w:rPr>
              <w:t>Darbuotojų sauga ir sveikata, aplinkosauga</w:t>
            </w:r>
          </w:p>
          <w:p w:rsidR="00246C1B" w:rsidRPr="00246C1B" w:rsidRDefault="00246C1B" w:rsidP="00246C1B">
            <w:pPr>
              <w:widowControl w:val="0"/>
              <w:numPr>
                <w:ilvl w:val="0"/>
                <w:numId w:val="15"/>
              </w:numPr>
              <w:ind w:left="0" w:firstLine="0"/>
              <w:rPr>
                <w:rFonts w:eastAsia="Calibri"/>
              </w:rPr>
            </w:pPr>
            <w:r w:rsidRPr="00246C1B">
              <w:rPr>
                <w:rFonts w:eastAsia="Calibri"/>
              </w:rPr>
              <w:t>Įvardinti darbe pasitaikančius pavojus, neigiamus veiksnius ir galimą mašinų žalą aplinkai</w:t>
            </w:r>
          </w:p>
          <w:p w:rsidR="00246C1B" w:rsidRPr="00246C1B" w:rsidRDefault="00246C1B" w:rsidP="00246C1B">
            <w:pPr>
              <w:widowControl w:val="0"/>
              <w:rPr>
                <w:rFonts w:eastAsia="Calibri"/>
              </w:rPr>
            </w:pPr>
            <w:r w:rsidRPr="00246C1B">
              <w:rPr>
                <w:rFonts w:eastAsia="Calibri"/>
                <w:b/>
              </w:rPr>
              <w:t>Tema.</w:t>
            </w:r>
            <w:r w:rsidRPr="00246C1B">
              <w:rPr>
                <w:rFonts w:eastAsia="Calibri"/>
              </w:rPr>
              <w:t xml:space="preserve"> Darbo ir administracinės teisės pradmenys</w:t>
            </w:r>
          </w:p>
          <w:p w:rsidR="00246C1B" w:rsidRPr="00246C1B" w:rsidRDefault="00246C1B" w:rsidP="00246C1B">
            <w:pPr>
              <w:widowControl w:val="0"/>
              <w:numPr>
                <w:ilvl w:val="0"/>
                <w:numId w:val="15"/>
              </w:numPr>
              <w:ind w:left="0" w:firstLine="0"/>
              <w:rPr>
                <w:rFonts w:eastAsia="Calibri"/>
              </w:rPr>
            </w:pPr>
            <w:r w:rsidRPr="00246C1B">
              <w:rPr>
                <w:rFonts w:eastAsia="Calibri"/>
              </w:rPr>
              <w:t>Išnagrinėti pagrindinius kodeksų straipsnius apie savaeigių mašinų va</w:t>
            </w:r>
            <w:bookmarkStart w:id="0" w:name="_GoBack"/>
            <w:bookmarkEnd w:id="0"/>
            <w:r w:rsidRPr="00246C1B">
              <w:rPr>
                <w:rFonts w:eastAsia="Calibri"/>
              </w:rPr>
              <w:t>iruotojus</w:t>
            </w:r>
          </w:p>
          <w:p w:rsidR="00246C1B" w:rsidRPr="00246C1B" w:rsidRDefault="00246C1B" w:rsidP="00246C1B">
            <w:pPr>
              <w:widowControl w:val="0"/>
              <w:rPr>
                <w:rFonts w:eastAsia="Calibri"/>
              </w:rPr>
            </w:pPr>
            <w:r w:rsidRPr="00246C1B">
              <w:rPr>
                <w:rFonts w:eastAsia="Calibri"/>
                <w:b/>
              </w:rPr>
              <w:t>Tema.</w:t>
            </w:r>
            <w:r w:rsidRPr="00246C1B">
              <w:rPr>
                <w:rFonts w:eastAsia="Calibri"/>
              </w:rPr>
              <w:t xml:space="preserve"> Dangų įrengimas ir remontas</w:t>
            </w:r>
          </w:p>
          <w:p w:rsidR="00246C1B" w:rsidRPr="00246C1B" w:rsidRDefault="00246C1B" w:rsidP="00246C1B">
            <w:pPr>
              <w:widowControl w:val="0"/>
              <w:numPr>
                <w:ilvl w:val="0"/>
                <w:numId w:val="15"/>
              </w:numPr>
              <w:ind w:left="0" w:firstLine="0"/>
              <w:rPr>
                <w:rFonts w:eastAsia="Calibri"/>
              </w:rPr>
            </w:pPr>
            <w:r w:rsidRPr="00246C1B">
              <w:rPr>
                <w:rFonts w:eastAsia="Calibri"/>
              </w:rPr>
              <w:t>Atlikti mašinų priežiūrą, pasirengti darbui, teisingai naudotis mašinų valdymo įranga</w:t>
            </w:r>
          </w:p>
          <w:p w:rsidR="00246C1B" w:rsidRPr="00246C1B" w:rsidRDefault="00246C1B" w:rsidP="00246C1B">
            <w:pPr>
              <w:widowControl w:val="0"/>
              <w:numPr>
                <w:ilvl w:val="0"/>
                <w:numId w:val="15"/>
              </w:numPr>
              <w:ind w:left="0" w:firstLine="0"/>
              <w:rPr>
                <w:rFonts w:eastAsia="Calibri"/>
                <w:b/>
              </w:rPr>
            </w:pPr>
            <w:r w:rsidRPr="00246C1B">
              <w:t>Įrengti žvyro, asfaltbetonio dangas</w:t>
            </w:r>
          </w:p>
        </w:tc>
        <w:tc>
          <w:tcPr>
            <w:tcW w:w="1570" w:type="pct"/>
            <w:shd w:val="clear" w:color="auto" w:fill="auto"/>
          </w:tcPr>
          <w:p w:rsidR="00246C1B" w:rsidRPr="00246C1B" w:rsidRDefault="00246C1B" w:rsidP="00246C1B">
            <w:pPr>
              <w:widowControl w:val="0"/>
              <w:rPr>
                <w:bCs/>
                <w:iCs/>
              </w:rPr>
            </w:pPr>
            <w:r w:rsidRPr="00246C1B">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246C1B" w:rsidRPr="00246C1B" w:rsidTr="003A1CAB">
        <w:trPr>
          <w:trHeight w:val="57"/>
          <w:jc w:val="center"/>
        </w:trPr>
        <w:tc>
          <w:tcPr>
            <w:tcW w:w="1173" w:type="pct"/>
            <w:shd w:val="clear" w:color="auto" w:fill="auto"/>
          </w:tcPr>
          <w:p w:rsidR="00246C1B" w:rsidRPr="00246C1B" w:rsidRDefault="00246C1B" w:rsidP="00246C1B">
            <w:pPr>
              <w:widowControl w:val="0"/>
            </w:pPr>
            <w:r w:rsidRPr="00246C1B">
              <w:t>9. Geba paruošti mašinas transportuoti ir saugoti</w:t>
            </w:r>
            <w:r w:rsidR="00454ADA">
              <w:t>.</w:t>
            </w:r>
          </w:p>
        </w:tc>
        <w:tc>
          <w:tcPr>
            <w:tcW w:w="2257" w:type="pct"/>
          </w:tcPr>
          <w:p w:rsidR="00246C1B" w:rsidRPr="00246C1B" w:rsidRDefault="00246C1B" w:rsidP="00246C1B">
            <w:pPr>
              <w:widowControl w:val="0"/>
              <w:rPr>
                <w:rFonts w:eastAsia="Calibri"/>
                <w:b/>
              </w:rPr>
            </w:pPr>
            <w:r w:rsidRPr="00246C1B">
              <w:rPr>
                <w:rFonts w:eastAsia="Calibri"/>
                <w:b/>
              </w:rPr>
              <w:t xml:space="preserve">Tema. </w:t>
            </w:r>
            <w:r w:rsidRPr="00246C1B">
              <w:rPr>
                <w:rFonts w:eastAsia="Calibri"/>
              </w:rPr>
              <w:t>Mašinų važiavimas nedideliais atstumais</w:t>
            </w:r>
          </w:p>
          <w:p w:rsidR="00246C1B" w:rsidRPr="00246C1B" w:rsidRDefault="00246C1B" w:rsidP="00246C1B">
            <w:pPr>
              <w:widowControl w:val="0"/>
              <w:numPr>
                <w:ilvl w:val="0"/>
                <w:numId w:val="16"/>
              </w:numPr>
              <w:ind w:left="0" w:firstLine="0"/>
              <w:rPr>
                <w:rFonts w:eastAsia="Calibri"/>
              </w:rPr>
            </w:pPr>
            <w:r w:rsidRPr="00246C1B">
              <w:rPr>
                <w:rFonts w:eastAsia="Calibri"/>
              </w:rPr>
              <w:t>Paruošti mašinas pervežti, pakrauti ir sutvirtinti</w:t>
            </w:r>
          </w:p>
          <w:p w:rsidR="00246C1B" w:rsidRPr="00246C1B" w:rsidRDefault="00246C1B" w:rsidP="00246C1B">
            <w:pPr>
              <w:widowControl w:val="0"/>
              <w:rPr>
                <w:rFonts w:eastAsia="Calibri"/>
              </w:rPr>
            </w:pPr>
            <w:r w:rsidRPr="00246C1B">
              <w:rPr>
                <w:rFonts w:eastAsia="Calibri"/>
                <w:b/>
              </w:rPr>
              <w:t xml:space="preserve">Tema. </w:t>
            </w:r>
            <w:r w:rsidRPr="00246C1B">
              <w:rPr>
                <w:rFonts w:eastAsia="Calibri"/>
              </w:rPr>
              <w:t>Mašinų laikymas ir konservavimas</w:t>
            </w:r>
          </w:p>
          <w:p w:rsidR="00246C1B" w:rsidRPr="00246C1B" w:rsidRDefault="00246C1B" w:rsidP="00246C1B">
            <w:pPr>
              <w:widowControl w:val="0"/>
              <w:numPr>
                <w:ilvl w:val="0"/>
                <w:numId w:val="16"/>
              </w:numPr>
              <w:ind w:left="0" w:firstLine="0"/>
              <w:rPr>
                <w:rFonts w:eastAsia="Calibri"/>
                <w:b/>
              </w:rPr>
            </w:pPr>
            <w:r w:rsidRPr="00246C1B">
              <w:t>Įvardinti mašinų saugojimo objektuose ir jų konservavimo reikalavimus</w:t>
            </w:r>
          </w:p>
        </w:tc>
        <w:tc>
          <w:tcPr>
            <w:tcW w:w="1570" w:type="pct"/>
            <w:shd w:val="clear" w:color="auto" w:fill="auto"/>
          </w:tcPr>
          <w:p w:rsidR="00246C1B" w:rsidRPr="00246C1B" w:rsidRDefault="00246C1B" w:rsidP="00246C1B">
            <w:pPr>
              <w:widowControl w:val="0"/>
              <w:rPr>
                <w:bCs/>
                <w:iCs/>
              </w:rPr>
            </w:pPr>
            <w:r w:rsidRPr="00246C1B">
              <w:t>Išvardinti darbai, susiję su mašinų pervarymu, pakrovimu ir įtvirtinimu transporto priemonėje. Paaiškinti mašinų saugojimo ir jų konservavimo objektuose reikalavimai. Apibūdinti darbai ir medžiagos mašinoms konservuoti.</w:t>
            </w:r>
          </w:p>
        </w:tc>
      </w:tr>
      <w:tr w:rsidR="00246C1B" w:rsidRPr="00246C1B" w:rsidTr="003A1CAB">
        <w:trPr>
          <w:trHeight w:val="57"/>
          <w:jc w:val="center"/>
        </w:trPr>
        <w:tc>
          <w:tcPr>
            <w:tcW w:w="1173" w:type="pct"/>
          </w:tcPr>
          <w:p w:rsidR="00246C1B" w:rsidRPr="00246C1B" w:rsidRDefault="00246C1B" w:rsidP="00246C1B">
            <w:pPr>
              <w:widowControl w:val="0"/>
            </w:pPr>
            <w:r w:rsidRPr="00246C1B">
              <w:t>Reikalavimai mokymui skirtiems metodiniams ir materialiesiems ištekliams</w:t>
            </w:r>
          </w:p>
        </w:tc>
        <w:tc>
          <w:tcPr>
            <w:tcW w:w="3827" w:type="pct"/>
            <w:gridSpan w:val="2"/>
          </w:tcPr>
          <w:p w:rsidR="00246C1B" w:rsidRPr="00246C1B" w:rsidRDefault="00246C1B" w:rsidP="00246C1B">
            <w:pPr>
              <w:widowControl w:val="0"/>
              <w:rPr>
                <w:rFonts w:eastAsia="Calibri"/>
                <w:i/>
              </w:rPr>
            </w:pPr>
            <w:r w:rsidRPr="00246C1B">
              <w:rPr>
                <w:rFonts w:eastAsia="Calibri"/>
                <w:i/>
              </w:rPr>
              <w:t>Mokymo(</w:t>
            </w:r>
            <w:proofErr w:type="spellStart"/>
            <w:r w:rsidRPr="00246C1B">
              <w:rPr>
                <w:rFonts w:eastAsia="Calibri"/>
                <w:i/>
              </w:rPr>
              <w:t>si</w:t>
            </w:r>
            <w:proofErr w:type="spellEnd"/>
            <w:r w:rsidRPr="00246C1B">
              <w:rPr>
                <w:rFonts w:eastAsia="Calibri"/>
                <w:i/>
              </w:rPr>
              <w:t>) medžiaga:</w:t>
            </w:r>
          </w:p>
          <w:p w:rsidR="00246C1B" w:rsidRPr="00246C1B" w:rsidRDefault="00246C1B" w:rsidP="00246C1B">
            <w:pPr>
              <w:widowControl w:val="0"/>
              <w:numPr>
                <w:ilvl w:val="0"/>
                <w:numId w:val="1"/>
              </w:numPr>
              <w:ind w:left="0" w:firstLine="0"/>
              <w:contextualSpacing/>
            </w:pPr>
            <w:r w:rsidRPr="00246C1B">
              <w:t>specialioji literatūra, vadovėliai,</w:t>
            </w:r>
          </w:p>
          <w:p w:rsidR="00246C1B" w:rsidRPr="00246C1B" w:rsidRDefault="00246C1B" w:rsidP="00246C1B">
            <w:pPr>
              <w:widowControl w:val="0"/>
              <w:numPr>
                <w:ilvl w:val="0"/>
                <w:numId w:val="1"/>
              </w:numPr>
              <w:ind w:left="0" w:firstLine="0"/>
              <w:contextualSpacing/>
            </w:pPr>
            <w:r w:rsidRPr="00246C1B">
              <w:t>plakatai, schemos,</w:t>
            </w:r>
          </w:p>
          <w:p w:rsidR="00246C1B" w:rsidRPr="00246C1B" w:rsidRDefault="00246C1B" w:rsidP="00246C1B">
            <w:pPr>
              <w:widowControl w:val="0"/>
              <w:numPr>
                <w:ilvl w:val="0"/>
                <w:numId w:val="1"/>
              </w:numPr>
              <w:ind w:left="0" w:firstLine="0"/>
              <w:contextualSpacing/>
            </w:pPr>
            <w:r w:rsidRPr="00246C1B">
              <w:t>mašinų eksploatavimo instrukcijos, , užduočių aprašymai testai.</w:t>
            </w:r>
          </w:p>
          <w:p w:rsidR="00246C1B" w:rsidRPr="00246C1B" w:rsidRDefault="00246C1B" w:rsidP="00246C1B">
            <w:pPr>
              <w:widowControl w:val="0"/>
              <w:rPr>
                <w:rFonts w:eastAsia="Calibri"/>
                <w:i/>
              </w:rPr>
            </w:pPr>
            <w:r w:rsidRPr="00246C1B">
              <w:rPr>
                <w:rFonts w:eastAsia="Calibri"/>
                <w:i/>
              </w:rPr>
              <w:t>Mokymo(</w:t>
            </w:r>
            <w:proofErr w:type="spellStart"/>
            <w:r w:rsidRPr="00246C1B">
              <w:rPr>
                <w:rFonts w:eastAsia="Calibri"/>
                <w:i/>
              </w:rPr>
              <w:t>si</w:t>
            </w:r>
            <w:proofErr w:type="spellEnd"/>
            <w:r w:rsidRPr="00246C1B">
              <w:rPr>
                <w:rFonts w:eastAsia="Calibri"/>
                <w:i/>
              </w:rPr>
              <w:t>) priemonės:</w:t>
            </w:r>
          </w:p>
          <w:p w:rsidR="00246C1B" w:rsidRPr="00246C1B" w:rsidRDefault="00246C1B" w:rsidP="00246C1B">
            <w:pPr>
              <w:widowControl w:val="0"/>
              <w:numPr>
                <w:ilvl w:val="0"/>
                <w:numId w:val="1"/>
              </w:numPr>
              <w:ind w:left="0" w:firstLine="0"/>
              <w:contextualSpacing/>
            </w:pPr>
            <w:r w:rsidRPr="00246C1B">
              <w:t>mašinų maketai, mazgų ir agregatų pjūviai, modeliai, plakatai ir kitos priemonės</w:t>
            </w:r>
          </w:p>
        </w:tc>
      </w:tr>
      <w:tr w:rsidR="00246C1B" w:rsidRPr="00246C1B" w:rsidTr="003A1CAB">
        <w:trPr>
          <w:trHeight w:val="57"/>
          <w:jc w:val="center"/>
        </w:trPr>
        <w:tc>
          <w:tcPr>
            <w:tcW w:w="1173" w:type="pct"/>
          </w:tcPr>
          <w:p w:rsidR="00246C1B" w:rsidRPr="00246C1B" w:rsidRDefault="00246C1B" w:rsidP="00246C1B">
            <w:pPr>
              <w:widowControl w:val="0"/>
            </w:pPr>
            <w:r w:rsidRPr="00246C1B">
              <w:t>Reikalavimai teorinio ir praktinio mokymo vietai</w:t>
            </w:r>
          </w:p>
        </w:tc>
        <w:tc>
          <w:tcPr>
            <w:tcW w:w="3827" w:type="pct"/>
            <w:gridSpan w:val="2"/>
          </w:tcPr>
          <w:p w:rsidR="00246C1B" w:rsidRPr="00246C1B" w:rsidRDefault="00246C1B" w:rsidP="00246C1B">
            <w:pPr>
              <w:widowControl w:val="0"/>
              <w:jc w:val="both"/>
            </w:pPr>
            <w:r w:rsidRPr="00246C1B">
              <w:t>Klasė ar kita mokymui(</w:t>
            </w:r>
            <w:proofErr w:type="spellStart"/>
            <w:r w:rsidRPr="00246C1B">
              <w:t>si</w:t>
            </w:r>
            <w:proofErr w:type="spellEnd"/>
            <w:r w:rsidRPr="00246C1B">
              <w:t>) pritaikyta patalpa su techninėmis priemonėmis (kompiuteris, demonstravimo medžiaga, projektorius.) mokymo(</w:t>
            </w:r>
            <w:proofErr w:type="spellStart"/>
            <w:r w:rsidRPr="00246C1B">
              <w:t>si</w:t>
            </w:r>
            <w:proofErr w:type="spellEnd"/>
            <w:r w:rsidRPr="00246C1B">
              <w:t>) medžiagai pateikti.</w:t>
            </w:r>
          </w:p>
          <w:p w:rsidR="00246C1B" w:rsidRPr="00246C1B" w:rsidRDefault="00246C1B" w:rsidP="00246C1B">
            <w:pPr>
              <w:widowControl w:val="0"/>
              <w:rPr>
                <w:rFonts w:eastAsia="Calibri"/>
              </w:rPr>
            </w:pPr>
            <w:r w:rsidRPr="00246C1B">
              <w:rPr>
                <w:rFonts w:eastAsia="Calibri"/>
              </w:rPr>
              <w:t>Praktinio mokymo kabinetas su parengtomis darbo vietomis;</w:t>
            </w:r>
          </w:p>
          <w:p w:rsidR="00246C1B" w:rsidRPr="00246C1B" w:rsidRDefault="00246C1B" w:rsidP="00246C1B">
            <w:pPr>
              <w:widowControl w:val="0"/>
              <w:rPr>
                <w:rFonts w:eastAsia="Calibri"/>
              </w:rPr>
            </w:pPr>
            <w:r w:rsidRPr="00246C1B">
              <w:rPr>
                <w:rFonts w:eastAsia="Calibri"/>
              </w:rPr>
              <w:t>Dangų įrengimo ir remonto mašinos;</w:t>
            </w:r>
          </w:p>
          <w:p w:rsidR="00246C1B" w:rsidRPr="00246C1B" w:rsidRDefault="00246C1B" w:rsidP="00246C1B">
            <w:pPr>
              <w:widowControl w:val="0"/>
              <w:rPr>
                <w:rFonts w:eastAsia="Calibri"/>
              </w:rPr>
            </w:pPr>
            <w:r w:rsidRPr="00246C1B">
              <w:rPr>
                <w:rFonts w:eastAsia="Calibri"/>
              </w:rPr>
              <w:t>Mokomasis laukas;</w:t>
            </w:r>
          </w:p>
          <w:p w:rsidR="00246C1B" w:rsidRPr="00246C1B" w:rsidRDefault="00246C1B" w:rsidP="00246C1B">
            <w:pPr>
              <w:widowControl w:val="0"/>
              <w:rPr>
                <w:rFonts w:eastAsia="Calibri"/>
              </w:rPr>
            </w:pPr>
            <w:r w:rsidRPr="00246C1B">
              <w:rPr>
                <w:rFonts w:eastAsia="Calibri"/>
              </w:rPr>
              <w:t>Mokomosios dirbtuvės arba techninės priežiūros punktas;</w:t>
            </w:r>
          </w:p>
          <w:p w:rsidR="00246C1B" w:rsidRPr="00246C1B" w:rsidRDefault="00246C1B" w:rsidP="00246C1B">
            <w:pPr>
              <w:widowControl w:val="0"/>
              <w:rPr>
                <w:rFonts w:eastAsia="Calibri"/>
              </w:rPr>
            </w:pPr>
            <w:r w:rsidRPr="00246C1B">
              <w:rPr>
                <w:rFonts w:eastAsia="Calibri"/>
              </w:rPr>
              <w:t>Įrenginiai ir priemonės mašinų techninei priežiūrai atlikti;</w:t>
            </w:r>
          </w:p>
          <w:p w:rsidR="00246C1B" w:rsidRPr="00246C1B" w:rsidRDefault="00246C1B" w:rsidP="00246C1B">
            <w:pPr>
              <w:widowControl w:val="0"/>
              <w:jc w:val="both"/>
            </w:pPr>
            <w:r w:rsidRPr="00246C1B">
              <w:t>Asmeninio ir bendrojo naudojimo saugos ir sveikatos darbe priemonės, plakatai.</w:t>
            </w:r>
          </w:p>
        </w:tc>
      </w:tr>
      <w:tr w:rsidR="00246C1B" w:rsidRPr="00246C1B" w:rsidTr="003A1CAB">
        <w:trPr>
          <w:trHeight w:val="57"/>
          <w:jc w:val="center"/>
        </w:trPr>
        <w:tc>
          <w:tcPr>
            <w:tcW w:w="1173" w:type="pct"/>
          </w:tcPr>
          <w:p w:rsidR="00246C1B" w:rsidRPr="00246C1B" w:rsidRDefault="00246C1B" w:rsidP="00246C1B">
            <w:pPr>
              <w:widowControl w:val="0"/>
            </w:pPr>
            <w:r w:rsidRPr="00246C1B">
              <w:t xml:space="preserve">Reikalavimai mokytojų dalykiniam </w:t>
            </w:r>
            <w:r w:rsidRPr="00246C1B">
              <w:lastRenderedPageBreak/>
              <w:t>pasirengimui (dalykinei kvalifikacijai)</w:t>
            </w:r>
          </w:p>
        </w:tc>
        <w:tc>
          <w:tcPr>
            <w:tcW w:w="3827" w:type="pct"/>
            <w:gridSpan w:val="2"/>
          </w:tcPr>
          <w:p w:rsidR="00246C1B" w:rsidRPr="00246C1B" w:rsidRDefault="00246C1B" w:rsidP="00246C1B">
            <w:pPr>
              <w:widowControl w:val="0"/>
              <w:jc w:val="both"/>
            </w:pPr>
            <w:r w:rsidRPr="00246C1B">
              <w:lastRenderedPageBreak/>
              <w:t>Modulį gali vesti mokytojas, turintis:</w:t>
            </w:r>
          </w:p>
          <w:p w:rsidR="00246C1B" w:rsidRPr="00246C1B" w:rsidRDefault="00246C1B" w:rsidP="00246C1B">
            <w:pPr>
              <w:widowControl w:val="0"/>
              <w:jc w:val="both"/>
            </w:pPr>
            <w:r w:rsidRPr="00246C1B">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6C1B" w:rsidRPr="00246C1B" w:rsidRDefault="00246C1B" w:rsidP="00246C1B">
            <w:pPr>
              <w:widowControl w:val="0"/>
              <w:jc w:val="both"/>
              <w:rPr>
                <w:i/>
                <w:iCs/>
              </w:rPr>
            </w:pPr>
            <w:r w:rsidRPr="00246C1B">
              <w:t>2) turintis aukštąjį ar aukštesnįjį techninį išsilavinimą arba ne mažesnę kaip 3 metų žemės ūkio verslo darbuotojo profesinės veiklos patirtį.</w:t>
            </w:r>
            <w:r w:rsidRPr="00246C1B">
              <w:rPr>
                <w:i/>
                <w:iCs/>
              </w:rPr>
              <w:t xml:space="preserve"> </w:t>
            </w:r>
          </w:p>
        </w:tc>
      </w:tr>
    </w:tbl>
    <w:p w:rsidR="00246C1B" w:rsidRPr="00246C1B" w:rsidRDefault="00246C1B" w:rsidP="00246C1B">
      <w:pPr>
        <w:widowControl w:val="0"/>
        <w:outlineLvl w:val="2"/>
        <w:rPr>
          <w:bCs/>
          <w:szCs w:val="26"/>
          <w:lang w:eastAsia="x-none"/>
        </w:rPr>
      </w:pPr>
    </w:p>
    <w:p w:rsidR="00246C1B" w:rsidRPr="00246C1B" w:rsidRDefault="00246C1B" w:rsidP="00215B76"/>
    <w:sectPr w:rsidR="00246C1B" w:rsidRPr="00246C1B"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AA" w:rsidRDefault="00A435AA" w:rsidP="00215B76">
      <w:r>
        <w:separator/>
      </w:r>
    </w:p>
  </w:endnote>
  <w:endnote w:type="continuationSeparator" w:id="0">
    <w:p w:rsidR="00A435AA" w:rsidRDefault="00A435AA"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15B76" w:rsidRDefault="00215B76">
        <w:pPr>
          <w:pStyle w:val="Porat"/>
          <w:jc w:val="center"/>
        </w:pPr>
        <w:r>
          <w:fldChar w:fldCharType="begin"/>
        </w:r>
        <w:r>
          <w:instrText>PAGE   \* MERGEFORMAT</w:instrText>
        </w:r>
        <w:r>
          <w:fldChar w:fldCharType="separate"/>
        </w:r>
        <w:r w:rsidR="00454AD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AA" w:rsidRDefault="00A435AA" w:rsidP="00215B76">
      <w:r>
        <w:separator/>
      </w:r>
    </w:p>
  </w:footnote>
  <w:footnote w:type="continuationSeparator" w:id="0">
    <w:p w:rsidR="00A435AA" w:rsidRDefault="00A435AA" w:rsidP="0021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3"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2"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4"/>
  </w:num>
  <w:num w:numId="5">
    <w:abstractNumId w:val="10"/>
  </w:num>
  <w:num w:numId="6">
    <w:abstractNumId w:val="3"/>
  </w:num>
  <w:num w:numId="7">
    <w:abstractNumId w:val="6"/>
  </w:num>
  <w:num w:numId="8">
    <w:abstractNumId w:val="4"/>
  </w:num>
  <w:num w:numId="9">
    <w:abstractNumId w:val="7"/>
  </w:num>
  <w:num w:numId="10">
    <w:abstractNumId w:val="12"/>
  </w:num>
  <w:num w:numId="11">
    <w:abstractNumId w:val="2"/>
  </w:num>
  <w:num w:numId="12">
    <w:abstractNumId w:val="0"/>
  </w:num>
  <w:num w:numId="13">
    <w:abstractNumId w:val="13"/>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94C4D"/>
    <w:rsid w:val="001975A8"/>
    <w:rsid w:val="001A31DA"/>
    <w:rsid w:val="00215B76"/>
    <w:rsid w:val="00232387"/>
    <w:rsid w:val="00246C1B"/>
    <w:rsid w:val="002810CB"/>
    <w:rsid w:val="003A1CAB"/>
    <w:rsid w:val="00454ADA"/>
    <w:rsid w:val="00481617"/>
    <w:rsid w:val="005B57AE"/>
    <w:rsid w:val="0063074B"/>
    <w:rsid w:val="00672D0C"/>
    <w:rsid w:val="006E075E"/>
    <w:rsid w:val="00702D4D"/>
    <w:rsid w:val="007A7FF0"/>
    <w:rsid w:val="008756F9"/>
    <w:rsid w:val="0094166C"/>
    <w:rsid w:val="00A435AA"/>
    <w:rsid w:val="00B22407"/>
    <w:rsid w:val="00BA1D14"/>
    <w:rsid w:val="00FD2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C72"/>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3801</Words>
  <Characters>2168</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6</cp:revision>
  <dcterms:created xsi:type="dcterms:W3CDTF">2019-12-19T14:45:00Z</dcterms:created>
  <dcterms:modified xsi:type="dcterms:W3CDTF">2020-01-09T05:56:00Z</dcterms:modified>
</cp:coreProperties>
</file>