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76" w:rsidRPr="00080F66" w:rsidRDefault="00215B76" w:rsidP="00215B76">
      <w:pPr>
        <w:jc w:val="center"/>
        <w:rPr>
          <w:b/>
          <w:sz w:val="28"/>
        </w:rPr>
      </w:pPr>
      <w:r w:rsidRPr="00080F66">
        <w:rPr>
          <w:b/>
          <w:sz w:val="28"/>
        </w:rPr>
        <w:t>Žemės ūkio gamybos verslo darbuotojo modulinė profesinio mokymo programa, valstybinis kodas T43081103</w:t>
      </w:r>
    </w:p>
    <w:p w:rsidR="00215B76" w:rsidRPr="00080F66" w:rsidRDefault="00215B76" w:rsidP="00215B76"/>
    <w:p w:rsidR="00080F66" w:rsidRPr="00080F66" w:rsidRDefault="00080F66" w:rsidP="00080F66">
      <w:pPr>
        <w:widowControl w:val="0"/>
        <w:rPr>
          <w:b/>
          <w:bCs/>
        </w:rPr>
      </w:pPr>
      <w:r w:rsidRPr="00080F66">
        <w:rPr>
          <w:b/>
          <w:bCs/>
        </w:rPr>
        <w:t>Modulio pavadinimas - „SM kategorijos savaeigių žemės kasimo ir transportavimo mašinų vairavimas“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7229"/>
        <w:gridCol w:w="4784"/>
      </w:tblGrid>
      <w:tr w:rsidR="00080F66" w:rsidRPr="00080F66" w:rsidTr="00842839">
        <w:trPr>
          <w:trHeight w:val="57"/>
          <w:jc w:val="center"/>
        </w:trPr>
        <w:tc>
          <w:tcPr>
            <w:tcW w:w="1173" w:type="pct"/>
            <w:shd w:val="clear" w:color="auto" w:fill="F2F2F2" w:themeFill="background1" w:themeFillShade="F2"/>
          </w:tcPr>
          <w:p w:rsidR="00080F66" w:rsidRPr="00080F66" w:rsidRDefault="00080F66" w:rsidP="00EF786F">
            <w:pPr>
              <w:widowControl w:val="0"/>
            </w:pPr>
            <w:r w:rsidRPr="00080F66">
              <w:t>Valstybinis kodas</w:t>
            </w:r>
          </w:p>
        </w:tc>
        <w:tc>
          <w:tcPr>
            <w:tcW w:w="3827" w:type="pct"/>
            <w:gridSpan w:val="2"/>
          </w:tcPr>
          <w:p w:rsidR="00080F66" w:rsidRPr="00080F66" w:rsidRDefault="00080F66" w:rsidP="00EF786F">
            <w:pPr>
              <w:widowControl w:val="0"/>
            </w:pPr>
            <w:r w:rsidRPr="00080F66">
              <w:t>3081115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  <w:shd w:val="clear" w:color="auto" w:fill="F2F2F2" w:themeFill="background1" w:themeFillShade="F2"/>
          </w:tcPr>
          <w:p w:rsidR="00080F66" w:rsidRPr="00080F66" w:rsidRDefault="00080F66" w:rsidP="00EF786F">
            <w:pPr>
              <w:widowControl w:val="0"/>
            </w:pPr>
            <w:r w:rsidRPr="00080F66">
              <w:t>Modulio LTKS lygis</w:t>
            </w:r>
          </w:p>
        </w:tc>
        <w:tc>
          <w:tcPr>
            <w:tcW w:w="3827" w:type="pct"/>
            <w:gridSpan w:val="2"/>
          </w:tcPr>
          <w:p w:rsidR="00080F66" w:rsidRPr="00080F66" w:rsidRDefault="00080F66" w:rsidP="00EF786F">
            <w:pPr>
              <w:widowControl w:val="0"/>
            </w:pPr>
            <w:r w:rsidRPr="00080F66">
              <w:t>III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  <w:shd w:val="clear" w:color="auto" w:fill="F2F2F2" w:themeFill="background1" w:themeFillShade="F2"/>
          </w:tcPr>
          <w:p w:rsidR="00080F66" w:rsidRPr="00080F66" w:rsidRDefault="00080F66" w:rsidP="00EF786F">
            <w:pPr>
              <w:widowControl w:val="0"/>
            </w:pPr>
            <w:r w:rsidRPr="00080F66">
              <w:t>Apimtis mokymosi kreditais</w:t>
            </w:r>
          </w:p>
        </w:tc>
        <w:tc>
          <w:tcPr>
            <w:tcW w:w="3827" w:type="pct"/>
            <w:gridSpan w:val="2"/>
          </w:tcPr>
          <w:p w:rsidR="00080F66" w:rsidRPr="00080F66" w:rsidRDefault="00295FEA" w:rsidP="00EF786F">
            <w:pPr>
              <w:widowControl w:val="0"/>
            </w:pPr>
            <w:r>
              <w:t>5</w:t>
            </w:r>
            <w:bookmarkStart w:id="0" w:name="_GoBack"/>
            <w:bookmarkEnd w:id="0"/>
          </w:p>
        </w:tc>
      </w:tr>
      <w:tr w:rsidR="00CD27D1" w:rsidRPr="00080F66" w:rsidTr="00842839">
        <w:trPr>
          <w:trHeight w:val="57"/>
          <w:jc w:val="center"/>
        </w:trPr>
        <w:tc>
          <w:tcPr>
            <w:tcW w:w="1173" w:type="pct"/>
            <w:shd w:val="clear" w:color="auto" w:fill="F2F2F2" w:themeFill="background1" w:themeFillShade="F2"/>
          </w:tcPr>
          <w:p w:rsidR="00CD27D1" w:rsidRPr="00080F66" w:rsidRDefault="00CD27D1" w:rsidP="00CD27D1">
            <w:pPr>
              <w:widowControl w:val="0"/>
            </w:pPr>
            <w:r w:rsidRPr="00080F66">
              <w:t>Asmens pasirengimo mokytis modulyje reikalavimai (jei taikoma)</w:t>
            </w:r>
          </w:p>
        </w:tc>
        <w:tc>
          <w:tcPr>
            <w:tcW w:w="3827" w:type="pct"/>
            <w:gridSpan w:val="2"/>
          </w:tcPr>
          <w:p w:rsidR="00CD27D1" w:rsidRPr="00F05E39" w:rsidRDefault="00CD27D1" w:rsidP="00CD27D1">
            <w:pPr>
              <w:widowControl w:val="0"/>
            </w:pPr>
            <w:r w:rsidRPr="00F05E39">
              <w:t>TR1 kategorijos traktorių vairuotojo pažymėjimas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  <w:shd w:val="clear" w:color="auto" w:fill="F2F2F2" w:themeFill="background1" w:themeFillShade="F2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t>Kompetencijos</w:t>
            </w:r>
          </w:p>
        </w:tc>
        <w:tc>
          <w:tcPr>
            <w:tcW w:w="3827" w:type="pct"/>
            <w:gridSpan w:val="2"/>
            <w:shd w:val="clear" w:color="auto" w:fill="FFFFFF" w:themeFill="background1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t>Dirbti savaeigėmis žemės kas</w:t>
            </w:r>
            <w:r w:rsidR="005A77D8">
              <w:t>imo ir transportavimo mašinomis</w:t>
            </w:r>
            <w:r w:rsidR="005A77D8">
              <w:rPr>
                <w:bCs/>
                <w:iCs/>
              </w:rPr>
              <w:t>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0F66" w:rsidRPr="00080F66" w:rsidRDefault="00080F66" w:rsidP="00080F66">
            <w:pPr>
              <w:widowControl w:val="0"/>
            </w:pPr>
            <w:r w:rsidRPr="00080F66">
              <w:rPr>
                <w:bCs/>
                <w:iCs/>
              </w:rPr>
              <w:t>Mokymosi rezultatai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2F2F2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shd w:val="clear" w:color="auto" w:fill="F2F2F2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t>Mokymosi pasiekimų įvertinimo kriterijai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t>1.</w:t>
            </w:r>
            <w:r w:rsidR="00F6290D">
              <w:t xml:space="preserve">1. </w:t>
            </w:r>
            <w:r w:rsidRPr="00080F66">
              <w:t>Apibūdinti žemės statinių rūšis, jų klasifikaciją, statinių konstrukcinius elementus</w:t>
            </w:r>
            <w:r w:rsidR="00F6290D">
              <w:rPr>
                <w:bCs/>
                <w:iCs/>
              </w:rPr>
              <w:t>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b/>
                <w:bCs/>
              </w:rPr>
              <w:t xml:space="preserve">Tema. </w:t>
            </w:r>
            <w:r w:rsidRPr="00080F66">
              <w:rPr>
                <w:rFonts w:eastAsia="Calibri"/>
              </w:rPr>
              <w:t>Susipažinti su kelių, aikščių ir iškasų skirstymu.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b/>
              </w:rPr>
            </w:pPr>
            <w:r w:rsidRPr="00080F66">
              <w:rPr>
                <w:rFonts w:eastAsia="Calibri"/>
              </w:rPr>
              <w:t>Išvardyti kelių, aikščių ir iškasų požymius bei rūšis.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Susipažinti su žemės ūkio statinių konstrukciniais elementais.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bCs/>
                <w:iCs/>
              </w:rPr>
            </w:pPr>
            <w:r w:rsidRPr="00080F66">
              <w:t>Nurodyti duoto statinio konstrukcijos elementus.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Išvardinti kelių, aikščių ir iškasų požymiai bei rūšys.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Nurodyti ir apibūdinti duoto statinio konstrukcijos elementai.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bCs/>
                <w:iCs/>
              </w:rPr>
            </w:pPr>
            <w:r w:rsidRPr="00080F66">
              <w:t>1.2. Įvardinti žemės statinių įrengimui keliamus reikalavimus.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b/>
              </w:rPr>
              <w:t xml:space="preserve">Tema. </w:t>
            </w:r>
            <w:r w:rsidRPr="00080F66">
              <w:rPr>
                <w:rFonts w:eastAsia="Calibri"/>
              </w:rPr>
              <w:t>Susipažinti su žemės statiniams keliamais reikalavimais.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Apibūdinti kaip ženklinami darbai ir darbo vietos.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Žemės statinių įrengimo kokybės vertinimas.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bCs/>
                <w:iCs/>
              </w:rPr>
            </w:pPr>
            <w:r w:rsidRPr="00080F66">
              <w:t>Nurodyti darbo kokybės rodiklius, jų požymius.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Apibūdinta kaip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ženklinami darbai ir darbo vietos.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Nurodyti darbo kokybės rodikliai, jų požymiai.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</w:pPr>
            <w:r w:rsidRPr="00080F66">
              <w:t>1.3. Išmanyti apie gruntus ir kitas medžiagas, naudojamas statiniams įrengti, jų klasifikaciją, savybes.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b/>
              </w:rPr>
              <w:t xml:space="preserve">Tema. </w:t>
            </w:r>
            <w:r w:rsidRPr="00080F66">
              <w:rPr>
                <w:rFonts w:eastAsia="Calibri"/>
              </w:rPr>
              <w:t>Susipažinti su gruntų klasifikacija.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Apibūdinti gruntų požymius.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Pažinti gruntus ir žinoti jų savybes.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Išvardyti gruntų ir kitų naudojamų medžiagų savybes.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Susipažinti su kitomis medžiagomis, naudojamomis žemės statiniams įrengti.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b/>
              </w:rPr>
            </w:pPr>
            <w:r w:rsidRPr="00080F66">
              <w:t>Parinkti medžiagas statiniams įrengti.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Apibūdinti gruntų požymiai.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Išvardintos gruntų ir kitų naudojamų medžiagų savybės.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Parinktos medžiagos statiniams įrengti.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</w:pPr>
            <w:r w:rsidRPr="00080F66">
              <w:t>1.4. Pasirinkti darbui tinkamos konstrukcijos ir našumo mašinas.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b/>
              </w:rPr>
              <w:t xml:space="preserve">Tema. </w:t>
            </w:r>
            <w:r w:rsidRPr="00080F66">
              <w:rPr>
                <w:rFonts w:eastAsia="Calibri"/>
              </w:rPr>
              <w:t>Žemės kasimo ir transportavimo mašinų įrangos ypatumai.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b/>
              </w:rPr>
            </w:pPr>
            <w:r w:rsidRPr="00080F66">
              <w:t>Susipažinti bei apibūdinti žemės kasimo ir transportavimo mašinų įrangos ypatumus, našų darbą.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Apibūdinta mašinų paskirtis ir ypatumai.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Pagal užduotį optimaliai parinktos mašinos.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</w:pPr>
            <w:r w:rsidRPr="00080F66">
              <w:t>1.5. Nurodyti žemės kasimo ir transportavimo konstrukcijos ypatumus, jų paskirtį. Tinkamai parinkti eksploatacines medžiagas, laiku jas pakeisti.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Žemės kasimo mašinų ir agregatų paskirtis.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b/>
              </w:rPr>
            </w:pPr>
            <w:r w:rsidRPr="00080F66">
              <w:rPr>
                <w:rFonts w:eastAsia="Calibri"/>
              </w:rPr>
              <w:t>Susipažinti su žemės kasimo mašinų agregatų ir prietaisų paskirtimi, tarpusavio ryšiu, veikimo ypatumais.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Eksploatacinių medžiagų parinkimas, jų keitimas.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Parinkti eksploatacines medžiagas, laiku jas keisti ar papildyti, tinkamai eksploatuoti padangas.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rFonts w:eastAsia="Calibri"/>
                <w:b/>
              </w:rPr>
              <w:lastRenderedPageBreak/>
              <w:t xml:space="preserve">Tema. </w:t>
            </w:r>
            <w:r w:rsidRPr="00080F66">
              <w:rPr>
                <w:rFonts w:eastAsia="Calibri"/>
              </w:rPr>
              <w:t>Žemės kasimo mašinų techninės būklės vertinimas.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b/>
              </w:rPr>
            </w:pPr>
            <w:r w:rsidRPr="00080F66">
              <w:t>Įvertinti žemės kasimo mašinų techninę būklę. Taisyti nesudėtingus gedimus.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lastRenderedPageBreak/>
              <w:t>Apibūdinta duoto agregato ar sistemos paskirtis, ryšiai su kitais agregatais ir mazgais.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Paaiškinti agregato arba mašinos veikimo principai.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Teisingai parinktos eksploatacinės medžiagos.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 xml:space="preserve">Apibūdintos tepimo schemos ir darbų atlikimo </w:t>
            </w:r>
            <w:r w:rsidRPr="00080F66">
              <w:rPr>
                <w:rFonts w:eastAsia="Calibri"/>
              </w:rPr>
              <w:lastRenderedPageBreak/>
              <w:t>terminai.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Nustatyti gedimai pagal informacinių sistemų duomenis.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Paaiškintos nesudėtingų gedimų taisymo technologijos.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</w:pPr>
            <w:r w:rsidRPr="00080F66">
              <w:lastRenderedPageBreak/>
              <w:t>1.6. Saugiai važiuoti keliais, teisingai įvertinti atsiradusias kliūtis.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Kelių ženklinimas ženklais ir eismo reguliavimas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Gebėti vadovautis kelių eismo, kelių ženklinimo ir eismo reguliavimo signalais.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Saugus važiavimas.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Mokėti saugiai važiuoti.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Mašinų žala aplinkai, pasitaikantys pavojai.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rPr>
                <w:rFonts w:eastAsia="Calibri"/>
              </w:rPr>
              <w:t>Susipažinti su darbe pasitaikančiais pavojais, neigiamais veiksniais ir galima mašinų žala aplinkai.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  <w:b/>
              </w:rPr>
              <w:t>Tema.</w:t>
            </w:r>
            <w:r w:rsidRPr="00080F66">
              <w:rPr>
                <w:rFonts w:eastAsia="Calibri"/>
              </w:rPr>
              <w:t xml:space="preserve"> Alkoholio ir narkotikų žala.</w:t>
            </w:r>
            <w:r>
              <w:rPr>
                <w:rFonts w:eastAsia="Calibri"/>
              </w:rPr>
              <w:t xml:space="preserve"> </w:t>
            </w:r>
            <w:r w:rsidRPr="00080F66">
              <w:rPr>
                <w:rFonts w:eastAsia="Calibri"/>
              </w:rPr>
              <w:t>Pirmos pagalbos suteikimas.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</w:rPr>
            </w:pPr>
            <w:r w:rsidRPr="00080F66">
              <w:t>Susipažinti su alkoholio ir narkotikų žala, poilsio svarba saugiam darbui. Prisiminti pirmos medicininės pagalbos suteikimo būdus.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Teisingai atliktas praktinio vairavimo testas.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Išvardinti galimi pavojai darbe, žala aplinkai.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Apibūdinti nuovargio veiksniai.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Paaiškinta, kaip suteikti pirmąją medicininę pagalbą.</w:t>
            </w:r>
          </w:p>
        </w:tc>
      </w:tr>
      <w:tr w:rsidR="00080F66" w:rsidRPr="00080F66" w:rsidTr="00F57F0E">
        <w:trPr>
          <w:trHeight w:val="57"/>
          <w:jc w:val="center"/>
        </w:trPr>
        <w:tc>
          <w:tcPr>
            <w:tcW w:w="1173" w:type="pct"/>
            <w:shd w:val="clear" w:color="auto" w:fill="auto"/>
          </w:tcPr>
          <w:p w:rsidR="00080F66" w:rsidRPr="00080F66" w:rsidRDefault="00080F66" w:rsidP="00080F66">
            <w:pPr>
              <w:widowControl w:val="0"/>
            </w:pPr>
            <w:r w:rsidRPr="00080F66">
              <w:t>1.7.</w:t>
            </w:r>
            <w:r w:rsidR="00F6290D">
              <w:t xml:space="preserve"> </w:t>
            </w:r>
            <w:r w:rsidRPr="00080F66">
              <w:t>Paruošti mašinas transportuoti ir saugoti.</w:t>
            </w:r>
          </w:p>
        </w:tc>
        <w:tc>
          <w:tcPr>
            <w:tcW w:w="2303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Mašinų transportavimas ir vilkimas.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b/>
              </w:rPr>
            </w:pPr>
            <w:r w:rsidRPr="00080F66">
              <w:rPr>
                <w:rFonts w:eastAsia="Calibri"/>
              </w:rPr>
              <w:t>Paruošti mašinas transportavimui sava eiga, velkant ir pervežant.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  <w:b/>
              </w:rPr>
            </w:pPr>
            <w:r w:rsidRPr="00080F66">
              <w:rPr>
                <w:rFonts w:eastAsia="Calibri"/>
                <w:b/>
              </w:rPr>
              <w:t xml:space="preserve">Tema. </w:t>
            </w:r>
            <w:r w:rsidRPr="00080F66">
              <w:rPr>
                <w:rFonts w:eastAsia="Calibri"/>
              </w:rPr>
              <w:t>Mašinų laikymo ir konservavimo reikalavimai objektuose.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2"/>
              </w:numPr>
              <w:ind w:left="0" w:firstLine="0"/>
              <w:rPr>
                <w:rFonts w:eastAsia="Calibri"/>
                <w:b/>
              </w:rPr>
            </w:pPr>
            <w:r w:rsidRPr="00080F66">
              <w:t>Apibūdinti reikalavimus ir saugiai užkonservuoti mašinas objekte.</w:t>
            </w:r>
          </w:p>
        </w:tc>
        <w:tc>
          <w:tcPr>
            <w:tcW w:w="1524" w:type="pct"/>
            <w:shd w:val="clear" w:color="auto" w:fill="auto"/>
          </w:tcPr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Mašinos paruoštos transportavimui sava eiga, velkant ir pervežant.</w:t>
            </w:r>
          </w:p>
          <w:p w:rsidR="00080F66" w:rsidRPr="00080F66" w:rsidRDefault="00080F66" w:rsidP="00080F66">
            <w:pPr>
              <w:widowControl w:val="0"/>
            </w:pPr>
            <w:r w:rsidRPr="00080F66">
              <w:t>Užkonservuotos žemės kasimo mašinos objekte tarp sezonų.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</w:tcPr>
          <w:p w:rsidR="00080F66" w:rsidRPr="00080F66" w:rsidRDefault="00080F66" w:rsidP="00080F66">
            <w:pPr>
              <w:widowControl w:val="0"/>
            </w:pPr>
            <w:r w:rsidRPr="00080F66">
              <w:t>Reikalavimai mokymui skirtiems metodiniams ir materialiesiems ištekliams</w:t>
            </w:r>
          </w:p>
        </w:tc>
        <w:tc>
          <w:tcPr>
            <w:tcW w:w="3827" w:type="pct"/>
            <w:gridSpan w:val="2"/>
          </w:tcPr>
          <w:p w:rsidR="00080F66" w:rsidRPr="00080F66" w:rsidRDefault="00080F66" w:rsidP="00080F66">
            <w:pPr>
              <w:widowControl w:val="0"/>
              <w:rPr>
                <w:rFonts w:eastAsia="Calibri"/>
                <w:i/>
              </w:rPr>
            </w:pPr>
            <w:r w:rsidRPr="00080F66">
              <w:rPr>
                <w:rFonts w:eastAsia="Calibri"/>
                <w:i/>
              </w:rPr>
              <w:t>Mokymo(</w:t>
            </w:r>
            <w:proofErr w:type="spellStart"/>
            <w:r w:rsidRPr="00080F66">
              <w:rPr>
                <w:rFonts w:eastAsia="Calibri"/>
                <w:i/>
              </w:rPr>
              <w:t>si</w:t>
            </w:r>
            <w:proofErr w:type="spellEnd"/>
            <w:r w:rsidRPr="00080F66">
              <w:rPr>
                <w:rFonts w:eastAsia="Calibri"/>
                <w:i/>
              </w:rPr>
              <w:t>) medžiaga: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80F66">
              <w:t>specialioji literatūra, vadovėliai,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80F66">
              <w:t>plakatai, schemos,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80F66">
              <w:t xml:space="preserve">mašinų eksploatavimo </w:t>
            </w:r>
            <w:r w:rsidR="00AE0811">
              <w:t>instrukcijos,</w:t>
            </w:r>
            <w:r w:rsidRPr="00080F66">
              <w:t xml:space="preserve"> užduočių aprašymai testai.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  <w:i/>
              </w:rPr>
            </w:pPr>
            <w:r w:rsidRPr="00080F66">
              <w:rPr>
                <w:rFonts w:eastAsia="Calibri"/>
                <w:i/>
              </w:rPr>
              <w:t>Mokymo(</w:t>
            </w:r>
            <w:proofErr w:type="spellStart"/>
            <w:r w:rsidRPr="00080F66">
              <w:rPr>
                <w:rFonts w:eastAsia="Calibri"/>
                <w:i/>
              </w:rPr>
              <w:t>si</w:t>
            </w:r>
            <w:proofErr w:type="spellEnd"/>
            <w:r w:rsidRPr="00080F66">
              <w:rPr>
                <w:rFonts w:eastAsia="Calibri"/>
                <w:i/>
              </w:rPr>
              <w:t>) priemonės:</w:t>
            </w:r>
          </w:p>
          <w:p w:rsidR="00080F66" w:rsidRPr="00080F66" w:rsidRDefault="00080F66" w:rsidP="00080F6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080F66">
              <w:t>mašinų maketai, mazgų ir agregatų pjūviai, modeliai, plakatai ir kitos priemonės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</w:tcPr>
          <w:p w:rsidR="00080F66" w:rsidRPr="00080F66" w:rsidRDefault="00080F66" w:rsidP="00080F66">
            <w:pPr>
              <w:widowControl w:val="0"/>
            </w:pPr>
            <w:r w:rsidRPr="00080F66">
              <w:t>Reikalavimai teorinio ir praktinio mokymo vietai</w:t>
            </w:r>
          </w:p>
        </w:tc>
        <w:tc>
          <w:tcPr>
            <w:tcW w:w="3827" w:type="pct"/>
            <w:gridSpan w:val="2"/>
          </w:tcPr>
          <w:p w:rsidR="00080F66" w:rsidRPr="00080F66" w:rsidRDefault="00080F66" w:rsidP="00080F66">
            <w:pPr>
              <w:widowControl w:val="0"/>
              <w:jc w:val="both"/>
            </w:pPr>
            <w:r w:rsidRPr="00080F66">
              <w:t>Klasė ar kita mokymui(</w:t>
            </w:r>
            <w:proofErr w:type="spellStart"/>
            <w:r w:rsidRPr="00080F66">
              <w:t>si</w:t>
            </w:r>
            <w:proofErr w:type="spellEnd"/>
            <w:r w:rsidRPr="00080F66">
              <w:t>) pritaikyta patalpa su techninėmis priemonėmis (kompiuteris, demonstravimo medžiaga, projektorius.) mokymo(</w:t>
            </w:r>
            <w:proofErr w:type="spellStart"/>
            <w:r w:rsidRPr="00080F66">
              <w:t>si</w:t>
            </w:r>
            <w:proofErr w:type="spellEnd"/>
            <w:r w:rsidRPr="00080F66">
              <w:t>) medžiagai pateikti.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Praktinio mokymo kabinetas su parengtomis darbo vietomis;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Savaeigės žemės kasimo mašinos;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Mokomasis laukas;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Mokomosios dirbtuvės arba techninės priežiūros punktas;</w:t>
            </w:r>
          </w:p>
          <w:p w:rsidR="00080F66" w:rsidRPr="00080F66" w:rsidRDefault="00080F66" w:rsidP="00080F66">
            <w:pPr>
              <w:widowControl w:val="0"/>
              <w:rPr>
                <w:rFonts w:eastAsia="Calibri"/>
              </w:rPr>
            </w:pPr>
            <w:r w:rsidRPr="00080F66">
              <w:rPr>
                <w:rFonts w:eastAsia="Calibri"/>
              </w:rPr>
              <w:t>Įrenginiai ir priemonės mašinų techninei priežiūrai atlikti;</w:t>
            </w:r>
          </w:p>
          <w:p w:rsidR="00080F66" w:rsidRPr="00080F66" w:rsidRDefault="00080F66" w:rsidP="00080F66">
            <w:pPr>
              <w:widowControl w:val="0"/>
              <w:jc w:val="both"/>
            </w:pPr>
            <w:r w:rsidRPr="00080F66">
              <w:t>Asmeninio ir bendrojo naudojimo saugos ir sveikatos darbe priemonės, plakatai.</w:t>
            </w:r>
          </w:p>
        </w:tc>
      </w:tr>
      <w:tr w:rsidR="00080F66" w:rsidRPr="00080F66" w:rsidTr="00842839">
        <w:trPr>
          <w:trHeight w:val="57"/>
          <w:jc w:val="center"/>
        </w:trPr>
        <w:tc>
          <w:tcPr>
            <w:tcW w:w="1173" w:type="pct"/>
          </w:tcPr>
          <w:p w:rsidR="00080F66" w:rsidRPr="00080F66" w:rsidRDefault="00080F66" w:rsidP="00080F66">
            <w:pPr>
              <w:widowControl w:val="0"/>
            </w:pPr>
            <w:r w:rsidRPr="00080F66">
              <w:t xml:space="preserve">Reikalavimai mokytojų dalykiniam </w:t>
            </w:r>
            <w:r w:rsidRPr="00080F66">
              <w:lastRenderedPageBreak/>
              <w:t>pasirengimui (dalykinei kvalifikacijai)</w:t>
            </w:r>
          </w:p>
        </w:tc>
        <w:tc>
          <w:tcPr>
            <w:tcW w:w="3827" w:type="pct"/>
            <w:gridSpan w:val="2"/>
          </w:tcPr>
          <w:p w:rsidR="00080F66" w:rsidRPr="00080F66" w:rsidRDefault="00080F66" w:rsidP="00080F66">
            <w:pPr>
              <w:widowControl w:val="0"/>
              <w:jc w:val="both"/>
            </w:pPr>
            <w:r w:rsidRPr="00080F66">
              <w:lastRenderedPageBreak/>
              <w:t>Modulį gali vesti mokytojas, turintis:</w:t>
            </w:r>
          </w:p>
          <w:p w:rsidR="00080F66" w:rsidRPr="00080F66" w:rsidRDefault="00080F66" w:rsidP="00080F66">
            <w:pPr>
              <w:widowControl w:val="0"/>
              <w:jc w:val="both"/>
            </w:pPr>
            <w:r w:rsidRPr="00080F66">
              <w:lastRenderedPageBreak/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080F66" w:rsidRPr="00080F66" w:rsidRDefault="00080F66" w:rsidP="00080F66">
            <w:pPr>
              <w:widowControl w:val="0"/>
              <w:jc w:val="both"/>
              <w:rPr>
                <w:i/>
                <w:iCs/>
              </w:rPr>
            </w:pPr>
            <w:r w:rsidRPr="00080F66">
              <w:t>2) turintis aukštąjį ar aukštesnįjį techninį išsilavinimą arba ne mažesnę kaip 3 metų žemės ūkio verslo darbuotojo profesinės veiklos patirtį.</w:t>
            </w:r>
            <w:r w:rsidRPr="00080F66">
              <w:rPr>
                <w:i/>
                <w:iCs/>
              </w:rPr>
              <w:t xml:space="preserve"> </w:t>
            </w:r>
          </w:p>
        </w:tc>
      </w:tr>
    </w:tbl>
    <w:p w:rsidR="00080F66" w:rsidRPr="00080F66" w:rsidRDefault="00080F66" w:rsidP="00080F66">
      <w:pPr>
        <w:widowControl w:val="0"/>
        <w:rPr>
          <w:bCs/>
        </w:rPr>
      </w:pPr>
    </w:p>
    <w:p w:rsidR="00080F66" w:rsidRPr="00080F66" w:rsidRDefault="00080F66" w:rsidP="00215B76"/>
    <w:sectPr w:rsidR="00080F66" w:rsidRPr="00080F66" w:rsidSect="00215B76">
      <w:footerReference w:type="default" r:id="rId7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B9" w:rsidRDefault="000C08B9" w:rsidP="00215B76">
      <w:r>
        <w:separator/>
      </w:r>
    </w:p>
  </w:endnote>
  <w:endnote w:type="continuationSeparator" w:id="0">
    <w:p w:rsidR="000C08B9" w:rsidRDefault="000C08B9" w:rsidP="0021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57903"/>
      <w:docPartObj>
        <w:docPartGallery w:val="Page Numbers (Bottom of Page)"/>
        <w:docPartUnique/>
      </w:docPartObj>
    </w:sdtPr>
    <w:sdtEndPr/>
    <w:sdtContent>
      <w:p w:rsidR="00215B76" w:rsidRDefault="00215B7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E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B9" w:rsidRDefault="000C08B9" w:rsidP="00215B76">
      <w:r>
        <w:separator/>
      </w:r>
    </w:p>
  </w:footnote>
  <w:footnote w:type="continuationSeparator" w:id="0">
    <w:p w:rsidR="000C08B9" w:rsidRDefault="000C08B9" w:rsidP="0021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A81"/>
    <w:multiLevelType w:val="hybridMultilevel"/>
    <w:tmpl w:val="F6524B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497"/>
    <w:multiLevelType w:val="hybridMultilevel"/>
    <w:tmpl w:val="F8E87ECE"/>
    <w:lvl w:ilvl="0" w:tplc="042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0360AEC"/>
    <w:multiLevelType w:val="hybridMultilevel"/>
    <w:tmpl w:val="3340A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1C76"/>
    <w:multiLevelType w:val="hybridMultilevel"/>
    <w:tmpl w:val="E4401CA6"/>
    <w:lvl w:ilvl="0" w:tplc="C42C5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8B8"/>
    <w:multiLevelType w:val="hybridMultilevel"/>
    <w:tmpl w:val="F23C7D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6881"/>
    <w:multiLevelType w:val="hybridMultilevel"/>
    <w:tmpl w:val="C4100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2E5A"/>
    <w:multiLevelType w:val="hybridMultilevel"/>
    <w:tmpl w:val="A5EAA2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2E1D"/>
    <w:multiLevelType w:val="hybridMultilevel"/>
    <w:tmpl w:val="90766FC4"/>
    <w:lvl w:ilvl="0" w:tplc="0A2C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343E0"/>
    <w:multiLevelType w:val="hybridMultilevel"/>
    <w:tmpl w:val="A210B6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662F"/>
    <w:multiLevelType w:val="hybridMultilevel"/>
    <w:tmpl w:val="995C0758"/>
    <w:lvl w:ilvl="0" w:tplc="2F30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E7BD7"/>
    <w:multiLevelType w:val="hybridMultilevel"/>
    <w:tmpl w:val="19C62E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2400"/>
    <w:multiLevelType w:val="hybridMultilevel"/>
    <w:tmpl w:val="22E40C8A"/>
    <w:lvl w:ilvl="0" w:tplc="821AA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284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6"/>
    <w:rsid w:val="00080F66"/>
    <w:rsid w:val="00094C4D"/>
    <w:rsid w:val="000C08B9"/>
    <w:rsid w:val="001975A8"/>
    <w:rsid w:val="001A31DA"/>
    <w:rsid w:val="00215B76"/>
    <w:rsid w:val="00234C40"/>
    <w:rsid w:val="00295FEA"/>
    <w:rsid w:val="00481617"/>
    <w:rsid w:val="005A77D8"/>
    <w:rsid w:val="0063074B"/>
    <w:rsid w:val="006E075E"/>
    <w:rsid w:val="00702D4D"/>
    <w:rsid w:val="0076696C"/>
    <w:rsid w:val="007A7FF0"/>
    <w:rsid w:val="00842839"/>
    <w:rsid w:val="00A72BC9"/>
    <w:rsid w:val="00AD2E99"/>
    <w:rsid w:val="00AE0811"/>
    <w:rsid w:val="00B22407"/>
    <w:rsid w:val="00BA1D14"/>
    <w:rsid w:val="00CC26D0"/>
    <w:rsid w:val="00CD27D1"/>
    <w:rsid w:val="00F57F0E"/>
    <w:rsid w:val="00F6179E"/>
    <w:rsid w:val="00F6290D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514"/>
  <w15:chartTrackingRefBased/>
  <w15:docId w15:val="{85C2B0D9-A9EC-45AE-AE7E-40865C5B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5B7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B76"/>
  </w:style>
  <w:style w:type="paragraph" w:styleId="Porat">
    <w:name w:val="footer"/>
    <w:basedOn w:val="prastasis"/>
    <w:link w:val="PoratDiagrama"/>
    <w:uiPriority w:val="99"/>
    <w:unhideWhenUsed/>
    <w:rsid w:val="00215B7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B76"/>
  </w:style>
  <w:style w:type="paragraph" w:customStyle="1" w:styleId="TableParagraph">
    <w:name w:val="Table Paragraph"/>
    <w:basedOn w:val="prastasis"/>
    <w:autoRedefine/>
    <w:uiPriority w:val="1"/>
    <w:qFormat/>
    <w:rsid w:val="00215B76"/>
    <w:pPr>
      <w:widowControl w:val="0"/>
      <w:tabs>
        <w:tab w:val="left" w:pos="171"/>
        <w:tab w:val="left" w:pos="741"/>
      </w:tabs>
      <w:spacing w:line="300" w:lineRule="exact"/>
    </w:pPr>
    <w:rPr>
      <w:rFonts w:eastAsia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F6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Aušra</cp:lastModifiedBy>
  <cp:revision>13</cp:revision>
  <dcterms:created xsi:type="dcterms:W3CDTF">2019-12-19T13:14:00Z</dcterms:created>
  <dcterms:modified xsi:type="dcterms:W3CDTF">2020-01-09T05:41:00Z</dcterms:modified>
</cp:coreProperties>
</file>